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E81" w:rsidRPr="005D3DE4" w:rsidRDefault="000A395F" w:rsidP="00FC7E6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D3DE4">
        <w:rPr>
          <w:rFonts w:ascii="Times New Roman" w:hAnsi="Times New Roman" w:cs="Times New Roman"/>
          <w:b/>
          <w:sz w:val="28"/>
          <w:szCs w:val="28"/>
        </w:rPr>
        <w:t>A tájépítészmérnöki szak tantervében történ változtatások indoklása</w:t>
      </w:r>
    </w:p>
    <w:p w:rsidR="00FC7E63" w:rsidRPr="005D3DE4" w:rsidRDefault="00FC7E63" w:rsidP="00FC7E6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A395F" w:rsidRPr="005D3DE4" w:rsidRDefault="000A395F" w:rsidP="00FC7E6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D3DE4">
        <w:rPr>
          <w:rFonts w:ascii="Times New Roman" w:hAnsi="Times New Roman" w:cs="Times New Roman"/>
          <w:sz w:val="24"/>
          <w:szCs w:val="24"/>
        </w:rPr>
        <w:t>dr.</w:t>
      </w:r>
      <w:proofErr w:type="gramEnd"/>
      <w:r w:rsidRPr="005D3DE4">
        <w:rPr>
          <w:rFonts w:ascii="Times New Roman" w:hAnsi="Times New Roman" w:cs="Times New Roman"/>
          <w:sz w:val="24"/>
          <w:szCs w:val="24"/>
        </w:rPr>
        <w:t xml:space="preserve"> Kentelky Endre, tájépítész</w:t>
      </w:r>
      <w:r w:rsidR="00C53A69">
        <w:rPr>
          <w:rFonts w:ascii="Times New Roman" w:hAnsi="Times New Roman" w:cs="Times New Roman"/>
          <w:sz w:val="24"/>
          <w:szCs w:val="24"/>
        </w:rPr>
        <w:t>mérnöki</w:t>
      </w:r>
      <w:r w:rsidRPr="005D3DE4">
        <w:rPr>
          <w:rFonts w:ascii="Times New Roman" w:hAnsi="Times New Roman" w:cs="Times New Roman"/>
          <w:sz w:val="24"/>
          <w:szCs w:val="24"/>
        </w:rPr>
        <w:t xml:space="preserve"> szak, programfelelős</w:t>
      </w:r>
    </w:p>
    <w:p w:rsidR="008B3EA5" w:rsidRPr="005D3DE4" w:rsidRDefault="008B3EA5" w:rsidP="00FC7E6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B3EA5" w:rsidRPr="005D3DE4" w:rsidRDefault="008B3EA5" w:rsidP="008B3E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3DE4">
        <w:rPr>
          <w:rFonts w:ascii="Times New Roman" w:hAnsi="Times New Roman" w:cs="Times New Roman"/>
          <w:b/>
          <w:sz w:val="28"/>
          <w:szCs w:val="28"/>
        </w:rPr>
        <w:t>I év</w:t>
      </w:r>
    </w:p>
    <w:p w:rsidR="008B3EA5" w:rsidRPr="005D3DE4" w:rsidRDefault="008B3EA5" w:rsidP="00FC7E6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B3EA5" w:rsidRPr="005D3DE4" w:rsidRDefault="008B3EA5" w:rsidP="00FC7E6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535" w:type="dxa"/>
        <w:tblLayout w:type="fixed"/>
        <w:tblLook w:val="04A0" w:firstRow="1" w:lastRow="0" w:firstColumn="1" w:lastColumn="0" w:noHBand="0" w:noVBand="1"/>
      </w:tblPr>
      <w:tblGrid>
        <w:gridCol w:w="2515"/>
        <w:gridCol w:w="540"/>
        <w:gridCol w:w="900"/>
        <w:gridCol w:w="810"/>
        <w:gridCol w:w="450"/>
        <w:gridCol w:w="4320"/>
      </w:tblGrid>
      <w:tr w:rsidR="008B3EA5" w:rsidRPr="005D3DE4" w:rsidTr="00EA5B79">
        <w:tc>
          <w:tcPr>
            <w:tcW w:w="2515" w:type="dxa"/>
          </w:tcPr>
          <w:p w:rsidR="008B3EA5" w:rsidRPr="005D3DE4" w:rsidRDefault="008B3EA5" w:rsidP="00FC7E6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Tantárgy</w:t>
            </w:r>
          </w:p>
        </w:tc>
        <w:tc>
          <w:tcPr>
            <w:tcW w:w="540" w:type="dxa"/>
          </w:tcPr>
          <w:p w:rsidR="008B3EA5" w:rsidRPr="005D3DE4" w:rsidRDefault="008B3EA5" w:rsidP="00FC7E6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900" w:type="dxa"/>
          </w:tcPr>
          <w:p w:rsidR="008B3EA5" w:rsidRPr="005D3DE4" w:rsidRDefault="008B3EA5" w:rsidP="00FC7E6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Sz</w:t>
            </w:r>
            <w:proofErr w:type="spellEnd"/>
          </w:p>
        </w:tc>
        <w:tc>
          <w:tcPr>
            <w:tcW w:w="810" w:type="dxa"/>
          </w:tcPr>
          <w:p w:rsidR="008B3EA5" w:rsidRPr="005D3DE4" w:rsidRDefault="008B3EA5" w:rsidP="00FC7E6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GY</w:t>
            </w:r>
          </w:p>
        </w:tc>
        <w:tc>
          <w:tcPr>
            <w:tcW w:w="450" w:type="dxa"/>
          </w:tcPr>
          <w:p w:rsidR="008B3EA5" w:rsidRPr="005D3DE4" w:rsidRDefault="008B3EA5" w:rsidP="00FC7E6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320" w:type="dxa"/>
          </w:tcPr>
          <w:p w:rsidR="008B3EA5" w:rsidRPr="005D3DE4" w:rsidRDefault="00C03907" w:rsidP="00FC7E6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Indoklás</w:t>
            </w:r>
          </w:p>
        </w:tc>
      </w:tr>
      <w:tr w:rsidR="008B3EA5" w:rsidRPr="005D3DE4" w:rsidTr="00EA5B79">
        <w:tc>
          <w:tcPr>
            <w:tcW w:w="2515" w:type="dxa"/>
          </w:tcPr>
          <w:p w:rsidR="008B3EA5" w:rsidRPr="005D3DE4" w:rsidRDefault="008B3EA5" w:rsidP="00D3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Geografia</w:t>
            </w:r>
            <w:proofErr w:type="spellEnd"/>
            <w:r w:rsidRPr="005D3DE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peisajului</w:t>
            </w:r>
            <w:proofErr w:type="spellEnd"/>
          </w:p>
        </w:tc>
        <w:tc>
          <w:tcPr>
            <w:tcW w:w="540" w:type="dxa"/>
          </w:tcPr>
          <w:p w:rsidR="008B3EA5" w:rsidRPr="005D3DE4" w:rsidRDefault="008B3EA5" w:rsidP="00D3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8B3EA5" w:rsidRPr="005D3DE4" w:rsidRDefault="008B3EA5" w:rsidP="00D3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2 (+1)</w:t>
            </w:r>
          </w:p>
        </w:tc>
        <w:tc>
          <w:tcPr>
            <w:tcW w:w="810" w:type="dxa"/>
          </w:tcPr>
          <w:p w:rsidR="008B3EA5" w:rsidRPr="005D3DE4" w:rsidRDefault="008B3EA5" w:rsidP="00D339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:rsidR="008B3EA5" w:rsidRPr="005D3DE4" w:rsidRDefault="008B3EA5" w:rsidP="00D339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vMerge w:val="restart"/>
          </w:tcPr>
          <w:p w:rsidR="008B3EA5" w:rsidRPr="005D3DE4" w:rsidRDefault="00C03907" w:rsidP="00D3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 xml:space="preserve">Oktató hiány indokolja a topográfia </w:t>
            </w:r>
            <w:proofErr w:type="spellStart"/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gyak</w:t>
            </w:r>
            <w:proofErr w:type="spellEnd"/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. órák számának a csökkentését</w:t>
            </w:r>
            <w:r w:rsidR="00FD0187" w:rsidRPr="005D3DE4">
              <w:rPr>
                <w:rFonts w:ascii="Times New Roman" w:hAnsi="Times New Roman" w:cs="Times New Roman"/>
                <w:sz w:val="24"/>
                <w:szCs w:val="24"/>
              </w:rPr>
              <w:t xml:space="preserve"> az 1 </w:t>
            </w: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óra</w:t>
            </w:r>
            <w:r w:rsidR="00FD0187" w:rsidRPr="005D3D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felkerü</w:t>
            </w:r>
            <w:r w:rsidR="00FD0187" w:rsidRPr="005D3DE4">
              <w:rPr>
                <w:rFonts w:ascii="Times New Roman" w:hAnsi="Times New Roman" w:cs="Times New Roman"/>
                <w:sz w:val="24"/>
                <w:szCs w:val="24"/>
              </w:rPr>
              <w:t xml:space="preserve">l a </w:t>
            </w:r>
            <w:proofErr w:type="spellStart"/>
            <w:r w:rsidR="00FD0187" w:rsidRPr="005D3DE4">
              <w:rPr>
                <w:rFonts w:ascii="Times New Roman" w:hAnsi="Times New Roman" w:cs="Times New Roman"/>
                <w:sz w:val="24"/>
                <w:szCs w:val="24"/>
              </w:rPr>
              <w:t>Geografia</w:t>
            </w:r>
            <w:proofErr w:type="spellEnd"/>
            <w:r w:rsidR="00FD0187" w:rsidRPr="005D3DE4">
              <w:rPr>
                <w:rFonts w:ascii="Times New Roman" w:hAnsi="Times New Roman" w:cs="Times New Roman"/>
                <w:sz w:val="24"/>
                <w:szCs w:val="24"/>
              </w:rPr>
              <w:t xml:space="preserve"> P. </w:t>
            </w: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tantárgyhoz</w:t>
            </w:r>
            <w:r w:rsidR="00FD0187" w:rsidRPr="005D3D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ideiglenesen</w:t>
            </w:r>
          </w:p>
        </w:tc>
      </w:tr>
      <w:tr w:rsidR="008B3EA5" w:rsidRPr="005D3DE4" w:rsidTr="00EA5B79">
        <w:tc>
          <w:tcPr>
            <w:tcW w:w="2515" w:type="dxa"/>
          </w:tcPr>
          <w:p w:rsidR="008B3EA5" w:rsidRPr="005D3DE4" w:rsidRDefault="008B3EA5" w:rsidP="00D3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Topografie</w:t>
            </w:r>
            <w:proofErr w:type="spellEnd"/>
            <w:r w:rsidRPr="005D3D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5D3D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cadastru</w:t>
            </w:r>
            <w:proofErr w:type="spellEnd"/>
          </w:p>
        </w:tc>
        <w:tc>
          <w:tcPr>
            <w:tcW w:w="540" w:type="dxa"/>
          </w:tcPr>
          <w:p w:rsidR="008B3EA5" w:rsidRPr="005D3DE4" w:rsidRDefault="008B3EA5" w:rsidP="00D3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8B3EA5" w:rsidRPr="005D3DE4" w:rsidRDefault="008B3EA5" w:rsidP="00D339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8B3EA5" w:rsidRPr="005D3DE4" w:rsidRDefault="008B3EA5" w:rsidP="00D3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1 (-1)</w:t>
            </w:r>
          </w:p>
        </w:tc>
        <w:tc>
          <w:tcPr>
            <w:tcW w:w="450" w:type="dxa"/>
          </w:tcPr>
          <w:p w:rsidR="008B3EA5" w:rsidRPr="005D3DE4" w:rsidRDefault="008B3EA5" w:rsidP="00D339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vMerge/>
          </w:tcPr>
          <w:p w:rsidR="008B3EA5" w:rsidRPr="005D3DE4" w:rsidRDefault="008B3EA5" w:rsidP="00D339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3EA5" w:rsidRPr="005D3DE4" w:rsidRDefault="008B3EA5" w:rsidP="00D339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0EFC" w:rsidRPr="005D3DE4" w:rsidRDefault="00B20EFC" w:rsidP="00D339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3DE4">
        <w:rPr>
          <w:rFonts w:ascii="Times New Roman" w:hAnsi="Times New Roman" w:cs="Times New Roman"/>
          <w:b/>
          <w:sz w:val="24"/>
          <w:szCs w:val="24"/>
        </w:rPr>
        <w:t>II év</w:t>
      </w:r>
    </w:p>
    <w:p w:rsidR="00B20EFC" w:rsidRPr="005D3DE4" w:rsidRDefault="00B20EFC" w:rsidP="00D339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1821"/>
        <w:gridCol w:w="498"/>
        <w:gridCol w:w="456"/>
        <w:gridCol w:w="563"/>
        <w:gridCol w:w="472"/>
        <w:gridCol w:w="5725"/>
      </w:tblGrid>
      <w:tr w:rsidR="00B20EFC" w:rsidRPr="005D3DE4" w:rsidTr="00C03907">
        <w:tc>
          <w:tcPr>
            <w:tcW w:w="1833" w:type="dxa"/>
          </w:tcPr>
          <w:p w:rsidR="00B20EFC" w:rsidRPr="005D3DE4" w:rsidRDefault="00B20EFC" w:rsidP="00D3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Tantárgy</w:t>
            </w:r>
          </w:p>
        </w:tc>
        <w:tc>
          <w:tcPr>
            <w:tcW w:w="502" w:type="dxa"/>
          </w:tcPr>
          <w:p w:rsidR="00B20EFC" w:rsidRPr="005D3DE4" w:rsidRDefault="00B20EFC" w:rsidP="00D3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56" w:type="dxa"/>
          </w:tcPr>
          <w:p w:rsidR="00B20EFC" w:rsidRPr="005D3DE4" w:rsidRDefault="00B20EFC" w:rsidP="00D3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Sz</w:t>
            </w:r>
            <w:proofErr w:type="spellEnd"/>
          </w:p>
        </w:tc>
        <w:tc>
          <w:tcPr>
            <w:tcW w:w="563" w:type="dxa"/>
          </w:tcPr>
          <w:p w:rsidR="00B20EFC" w:rsidRPr="005D3DE4" w:rsidRDefault="00B20EFC" w:rsidP="00D3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GY</w:t>
            </w:r>
          </w:p>
        </w:tc>
        <w:tc>
          <w:tcPr>
            <w:tcW w:w="350" w:type="dxa"/>
          </w:tcPr>
          <w:p w:rsidR="00B20EFC" w:rsidRPr="005D3DE4" w:rsidRDefault="00B20EFC" w:rsidP="00D3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831" w:type="dxa"/>
          </w:tcPr>
          <w:p w:rsidR="00B20EFC" w:rsidRPr="005D3DE4" w:rsidRDefault="003319EE" w:rsidP="00D33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Indoklás</w:t>
            </w:r>
          </w:p>
        </w:tc>
      </w:tr>
      <w:tr w:rsidR="00B20EFC" w:rsidRPr="005D3DE4" w:rsidTr="00C03907">
        <w:tc>
          <w:tcPr>
            <w:tcW w:w="1833" w:type="dxa"/>
          </w:tcPr>
          <w:p w:rsidR="00B20EFC" w:rsidRPr="005D3DE4" w:rsidRDefault="00B20EFC" w:rsidP="00D3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Proiectare</w:t>
            </w:r>
            <w:proofErr w:type="spellEnd"/>
            <w:r w:rsidRPr="005D3D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peisagistică</w:t>
            </w:r>
            <w:proofErr w:type="spellEnd"/>
            <w:r w:rsidRPr="005D3DE4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5D3D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D3DE4">
              <w:rPr>
                <w:rFonts w:ascii="Times New Roman" w:hAnsi="Times New Roman" w:cs="Times New Roman"/>
              </w:rPr>
              <w:t>Proiectare</w:t>
            </w:r>
            <w:proofErr w:type="spellEnd"/>
            <w:r w:rsidRPr="005D3D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D3DE4">
              <w:rPr>
                <w:rFonts w:ascii="Times New Roman" w:hAnsi="Times New Roman" w:cs="Times New Roman"/>
              </w:rPr>
              <w:t>asistată</w:t>
            </w:r>
            <w:proofErr w:type="spellEnd"/>
            <w:r w:rsidRPr="005D3DE4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5D3DE4">
              <w:rPr>
                <w:rFonts w:ascii="Times New Roman" w:hAnsi="Times New Roman" w:cs="Times New Roman"/>
              </w:rPr>
              <w:t>calculator</w:t>
            </w:r>
            <w:proofErr w:type="spellEnd"/>
          </w:p>
        </w:tc>
        <w:tc>
          <w:tcPr>
            <w:tcW w:w="502" w:type="dxa"/>
          </w:tcPr>
          <w:p w:rsidR="00B20EFC" w:rsidRPr="005D3DE4" w:rsidRDefault="00B20EFC" w:rsidP="00D3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6" w:type="dxa"/>
          </w:tcPr>
          <w:p w:rsidR="00B20EFC" w:rsidRPr="005D3DE4" w:rsidRDefault="00B20EFC" w:rsidP="00D3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3" w:type="dxa"/>
          </w:tcPr>
          <w:p w:rsidR="00B20EFC" w:rsidRPr="005D3DE4" w:rsidRDefault="00B20EFC" w:rsidP="00D3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" w:type="dxa"/>
          </w:tcPr>
          <w:p w:rsidR="00B20EFC" w:rsidRPr="005D3DE4" w:rsidRDefault="00B20EFC" w:rsidP="00D3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1" w:type="dxa"/>
          </w:tcPr>
          <w:p w:rsidR="00B20EFC" w:rsidRPr="005D3DE4" w:rsidRDefault="00B20EFC" w:rsidP="00D3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 xml:space="preserve">Az ARACIS tantárgy keretben </w:t>
            </w:r>
            <w:r w:rsidR="00C03907" w:rsidRPr="005D3DE4">
              <w:rPr>
                <w:rFonts w:ascii="Times New Roman" w:hAnsi="Times New Roman" w:cs="Times New Roman"/>
                <w:sz w:val="24"/>
                <w:szCs w:val="24"/>
              </w:rPr>
              <w:t>szereplő</w:t>
            </w: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3907" w:rsidRPr="005D3DE4">
              <w:rPr>
                <w:rFonts w:ascii="Times New Roman" w:hAnsi="Times New Roman" w:cs="Times New Roman"/>
                <w:sz w:val="24"/>
                <w:szCs w:val="24"/>
              </w:rPr>
              <w:t>alternatív</w:t>
            </w: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3907" w:rsidRPr="005D3DE4">
              <w:rPr>
                <w:rFonts w:ascii="Times New Roman" w:hAnsi="Times New Roman" w:cs="Times New Roman"/>
                <w:sz w:val="24"/>
                <w:szCs w:val="24"/>
              </w:rPr>
              <w:t>megnevezést</w:t>
            </w: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3907" w:rsidRPr="005D3DE4">
              <w:rPr>
                <w:rFonts w:ascii="Times New Roman" w:hAnsi="Times New Roman" w:cs="Times New Roman"/>
                <w:sz w:val="24"/>
                <w:szCs w:val="24"/>
              </w:rPr>
              <w:t>használjuk</w:t>
            </w: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 xml:space="preserve">, szakmailag indokoltabb (a kredit </w:t>
            </w:r>
            <w:r w:rsidR="00C03907" w:rsidRPr="005D3DE4">
              <w:rPr>
                <w:rFonts w:ascii="Times New Roman" w:hAnsi="Times New Roman" w:cs="Times New Roman"/>
                <w:sz w:val="24"/>
                <w:szCs w:val="24"/>
              </w:rPr>
              <w:t>száma</w:t>
            </w: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  <w:proofErr w:type="gramStart"/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le</w:t>
            </w:r>
            <w:r w:rsidR="00C03907" w:rsidRPr="005D3DE4">
              <w:rPr>
                <w:rFonts w:ascii="Times New Roman" w:hAnsi="Times New Roman" w:cs="Times New Roman"/>
                <w:sz w:val="24"/>
                <w:szCs w:val="24"/>
              </w:rPr>
              <w:t>sz</w:t>
            </w:r>
            <w:proofErr w:type="gramEnd"/>
            <w:r w:rsidR="00C03907" w:rsidRPr="005D3DE4">
              <w:rPr>
                <w:rFonts w:ascii="Times New Roman" w:hAnsi="Times New Roman" w:cs="Times New Roman"/>
                <w:sz w:val="24"/>
                <w:szCs w:val="24"/>
              </w:rPr>
              <w:t xml:space="preserve"> mivel nem haladhatja meg a félé</w:t>
            </w: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 xml:space="preserve">vi 30 </w:t>
            </w:r>
            <w:r w:rsidR="00C03907" w:rsidRPr="005D3DE4">
              <w:rPr>
                <w:rFonts w:ascii="Times New Roman" w:hAnsi="Times New Roman" w:cs="Times New Roman"/>
                <w:sz w:val="24"/>
                <w:szCs w:val="24"/>
              </w:rPr>
              <w:t>kreditet - nem történt egyéb változtatás).</w:t>
            </w:r>
          </w:p>
        </w:tc>
      </w:tr>
      <w:tr w:rsidR="00B20EFC" w:rsidRPr="005D3DE4" w:rsidTr="00C03907">
        <w:tc>
          <w:tcPr>
            <w:tcW w:w="1833" w:type="dxa"/>
          </w:tcPr>
          <w:p w:rsidR="00B20EFC" w:rsidRPr="005D3DE4" w:rsidRDefault="00B20EFC" w:rsidP="00D3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Peluze</w:t>
            </w:r>
            <w:proofErr w:type="spellEnd"/>
            <w:r w:rsidRPr="005D3D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5D3D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pajiști</w:t>
            </w:r>
            <w:proofErr w:type="spellEnd"/>
          </w:p>
        </w:tc>
        <w:tc>
          <w:tcPr>
            <w:tcW w:w="502" w:type="dxa"/>
          </w:tcPr>
          <w:p w:rsidR="00B20EFC" w:rsidRPr="005D3DE4" w:rsidRDefault="00C03907" w:rsidP="00D3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B20EFC" w:rsidRPr="005D3DE4" w:rsidRDefault="003319EE" w:rsidP="00D3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3" w:type="dxa"/>
          </w:tcPr>
          <w:p w:rsidR="00B20EFC" w:rsidRPr="005D3DE4" w:rsidRDefault="00C03907" w:rsidP="00D3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0" w:type="dxa"/>
          </w:tcPr>
          <w:p w:rsidR="00B20EFC" w:rsidRPr="005D3DE4" w:rsidRDefault="003319EE" w:rsidP="00D3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1" w:type="dxa"/>
          </w:tcPr>
          <w:p w:rsidR="00B20EFC" w:rsidRPr="005D3DE4" w:rsidRDefault="00C03907" w:rsidP="00D3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4">
              <w:rPr>
                <w:rFonts w:ascii="Times New Roman" w:eastAsia="ArialMT" w:hAnsi="Times New Roman" w:cs="Times New Roman"/>
                <w:bCs/>
                <w:sz w:val="24"/>
                <w:szCs w:val="24"/>
              </w:rPr>
              <w:t>új tantantárgy</w:t>
            </w:r>
            <w:r w:rsidR="00087FD5" w:rsidRPr="005D3DE4">
              <w:rPr>
                <w:rFonts w:ascii="Times New Roman" w:eastAsia="ArialMT" w:hAnsi="Times New Roman" w:cs="Times New Roman"/>
                <w:bCs/>
                <w:sz w:val="24"/>
                <w:szCs w:val="24"/>
              </w:rPr>
              <w:t xml:space="preserve"> (ARACIS listában kötelezően javasolt)</w:t>
            </w:r>
            <w:r w:rsidRPr="005D3DE4">
              <w:rPr>
                <w:rFonts w:ascii="Times New Roman" w:eastAsia="ArialMT" w:hAnsi="Times New Roman" w:cs="Times New Roman"/>
                <w:bCs/>
                <w:sz w:val="24"/>
                <w:szCs w:val="24"/>
              </w:rPr>
              <w:t xml:space="preserve"> -</w:t>
            </w:r>
            <w:r w:rsidR="00B20EFC" w:rsidRPr="005D3DE4">
              <w:rPr>
                <w:rFonts w:ascii="Times New Roman" w:eastAsia="ArialMT" w:hAnsi="Times New Roman" w:cs="Times New Roman"/>
                <w:bCs/>
                <w:sz w:val="24"/>
                <w:szCs w:val="24"/>
              </w:rPr>
              <w:t xml:space="preserve"> tervezési készség kialakítását-fejlesztését szolgálja, amely elengedhetetlen a szakma megfelelő gyakorlásához</w:t>
            </w:r>
          </w:p>
        </w:tc>
      </w:tr>
      <w:tr w:rsidR="00C03907" w:rsidRPr="005D3DE4" w:rsidTr="00C03907">
        <w:tc>
          <w:tcPr>
            <w:tcW w:w="1833" w:type="dxa"/>
          </w:tcPr>
          <w:p w:rsidR="00C03907" w:rsidRPr="005D3DE4" w:rsidRDefault="00C03907" w:rsidP="00D33977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Urbanism</w:t>
            </w:r>
            <w:proofErr w:type="spellEnd"/>
            <w:r w:rsidRPr="005D3DE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și</w:t>
            </w:r>
            <w:proofErr w:type="spellEnd"/>
            <w:r w:rsidRPr="005D3DE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amenajarea</w:t>
            </w:r>
            <w:proofErr w:type="spellEnd"/>
            <w:r w:rsidRPr="005D3DE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teritoriului</w:t>
            </w:r>
            <w:proofErr w:type="spellEnd"/>
          </w:p>
          <w:p w:rsidR="00C03907" w:rsidRPr="005D3DE4" w:rsidRDefault="00C03907" w:rsidP="00D339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dxa"/>
          </w:tcPr>
          <w:p w:rsidR="00C03907" w:rsidRPr="005D3DE4" w:rsidRDefault="003319EE" w:rsidP="00D3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6" w:type="dxa"/>
          </w:tcPr>
          <w:p w:rsidR="00C03907" w:rsidRPr="005D3DE4" w:rsidRDefault="003319EE" w:rsidP="00D3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3" w:type="dxa"/>
          </w:tcPr>
          <w:p w:rsidR="00C03907" w:rsidRPr="005D3DE4" w:rsidRDefault="00C03907" w:rsidP="00D3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</w:p>
        </w:tc>
        <w:tc>
          <w:tcPr>
            <w:tcW w:w="350" w:type="dxa"/>
          </w:tcPr>
          <w:p w:rsidR="00C03907" w:rsidRPr="005D3DE4" w:rsidRDefault="00C03907" w:rsidP="00D3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5831" w:type="dxa"/>
          </w:tcPr>
          <w:p w:rsidR="00C03907" w:rsidRPr="005D3DE4" w:rsidRDefault="00C03907" w:rsidP="00D33977">
            <w:pPr>
              <w:rPr>
                <w:rFonts w:ascii="Times New Roman" w:eastAsia="ArialMT" w:hAnsi="Times New Roman" w:cs="Times New Roman"/>
                <w:bCs/>
                <w:sz w:val="24"/>
                <w:szCs w:val="24"/>
              </w:rPr>
            </w:pPr>
            <w:r w:rsidRPr="005D3DE4">
              <w:rPr>
                <w:rFonts w:ascii="Times New Roman" w:eastAsia="ArialMT" w:hAnsi="Times New Roman" w:cs="Times New Roman"/>
                <w:bCs/>
                <w:sz w:val="24"/>
                <w:szCs w:val="24"/>
              </w:rPr>
              <w:t>A gyakorlati órák átkerültek a tervezésihez, szakmailag indokolt, óraszám változás nem történt</w:t>
            </w:r>
          </w:p>
        </w:tc>
      </w:tr>
      <w:tr w:rsidR="00C93F58" w:rsidRPr="005D3DE4" w:rsidTr="00C03907">
        <w:tc>
          <w:tcPr>
            <w:tcW w:w="1833" w:type="dxa"/>
          </w:tcPr>
          <w:p w:rsidR="00C93F58" w:rsidRPr="005D3DE4" w:rsidRDefault="00C93F58" w:rsidP="00D33977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93F58">
              <w:rPr>
                <w:rFonts w:ascii="Times New Roman" w:hAnsi="Times New Roman" w:cs="Times New Roman"/>
                <w:color w:val="000000"/>
              </w:rPr>
              <w:t>Materiale</w:t>
            </w:r>
            <w:proofErr w:type="spellEnd"/>
            <w:r w:rsidRPr="00C93F5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93F58">
              <w:rPr>
                <w:rFonts w:ascii="Times New Roman" w:hAnsi="Times New Roman" w:cs="Times New Roman"/>
                <w:color w:val="000000"/>
              </w:rPr>
              <w:t>și</w:t>
            </w:r>
            <w:proofErr w:type="spellEnd"/>
            <w:r w:rsidRPr="00C93F5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93F58">
              <w:rPr>
                <w:rFonts w:ascii="Times New Roman" w:hAnsi="Times New Roman" w:cs="Times New Roman"/>
                <w:color w:val="000000"/>
              </w:rPr>
              <w:t>construcții</w:t>
            </w:r>
            <w:proofErr w:type="spellEnd"/>
            <w:r w:rsidRPr="00C93F5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93F58">
              <w:rPr>
                <w:rFonts w:ascii="Times New Roman" w:hAnsi="Times New Roman" w:cs="Times New Roman"/>
                <w:color w:val="000000"/>
              </w:rPr>
              <w:t>în</w:t>
            </w:r>
            <w:proofErr w:type="spellEnd"/>
            <w:r w:rsidRPr="00C93F5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93F58">
              <w:rPr>
                <w:rFonts w:ascii="Times New Roman" w:hAnsi="Times New Roman" w:cs="Times New Roman"/>
                <w:color w:val="000000"/>
              </w:rPr>
              <w:t>peisagistică</w:t>
            </w:r>
            <w:proofErr w:type="spellEnd"/>
          </w:p>
        </w:tc>
        <w:tc>
          <w:tcPr>
            <w:tcW w:w="502" w:type="dxa"/>
          </w:tcPr>
          <w:p w:rsidR="00C93F58" w:rsidRPr="005D3DE4" w:rsidRDefault="00C93F58" w:rsidP="00D339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C93F58" w:rsidRPr="005D3DE4" w:rsidRDefault="00C93F58" w:rsidP="00D339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C93F58" w:rsidRPr="005D3DE4" w:rsidRDefault="00C93F58" w:rsidP="00D3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350" w:type="dxa"/>
          </w:tcPr>
          <w:p w:rsidR="00C93F58" w:rsidRPr="005D3DE4" w:rsidRDefault="00C93F58" w:rsidP="00D3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31" w:type="dxa"/>
          </w:tcPr>
          <w:p w:rsidR="00C93F58" w:rsidRPr="005D3DE4" w:rsidRDefault="00C93F58" w:rsidP="00C93F58">
            <w:pPr>
              <w:rPr>
                <w:rFonts w:ascii="Times New Roman" w:eastAsia="ArialMT" w:hAnsi="Times New Roman" w:cs="Times New Roman"/>
                <w:bCs/>
                <w:sz w:val="24"/>
                <w:szCs w:val="24"/>
              </w:rPr>
            </w:pPr>
            <w:r w:rsidRPr="005D3DE4">
              <w:rPr>
                <w:rFonts w:ascii="Times New Roman" w:eastAsia="ArialMT" w:hAnsi="Times New Roman" w:cs="Times New Roman"/>
                <w:bCs/>
                <w:sz w:val="24"/>
                <w:szCs w:val="24"/>
              </w:rPr>
              <w:t xml:space="preserve">A gyakorlati órák átkerültek a tervezésihez, szakmailag indokolt, óraszám </w:t>
            </w:r>
            <w:r>
              <w:rPr>
                <w:rFonts w:ascii="Times New Roman" w:eastAsia="ArialMT" w:hAnsi="Times New Roman" w:cs="Times New Roman"/>
                <w:bCs/>
                <w:sz w:val="24"/>
                <w:szCs w:val="24"/>
              </w:rPr>
              <w:t>növelése szakmailag indokolt!</w:t>
            </w:r>
          </w:p>
        </w:tc>
      </w:tr>
      <w:tr w:rsidR="003319EE" w:rsidRPr="005D3DE4" w:rsidTr="00C03907">
        <w:tc>
          <w:tcPr>
            <w:tcW w:w="1833" w:type="dxa"/>
          </w:tcPr>
          <w:p w:rsidR="003319EE" w:rsidRPr="005D3DE4" w:rsidRDefault="003319EE" w:rsidP="00D33977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Fiziologia</w:t>
            </w:r>
            <w:proofErr w:type="spellEnd"/>
            <w:r w:rsidRPr="005D3DE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plantelor</w:t>
            </w:r>
            <w:proofErr w:type="spellEnd"/>
          </w:p>
          <w:p w:rsidR="003319EE" w:rsidRPr="005D3DE4" w:rsidRDefault="003319EE" w:rsidP="00D3397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2" w:type="dxa"/>
          </w:tcPr>
          <w:p w:rsidR="003319EE" w:rsidRPr="005D3DE4" w:rsidRDefault="003319EE" w:rsidP="00D3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6" w:type="dxa"/>
          </w:tcPr>
          <w:p w:rsidR="003319EE" w:rsidRPr="005D3DE4" w:rsidRDefault="003319EE" w:rsidP="00D3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3" w:type="dxa"/>
          </w:tcPr>
          <w:p w:rsidR="003319EE" w:rsidRPr="005D3DE4" w:rsidRDefault="003319EE" w:rsidP="00D3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" w:type="dxa"/>
          </w:tcPr>
          <w:p w:rsidR="003319EE" w:rsidRPr="005D3DE4" w:rsidRDefault="003319EE" w:rsidP="00D3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31" w:type="dxa"/>
          </w:tcPr>
          <w:p w:rsidR="003319EE" w:rsidRPr="005D3DE4" w:rsidRDefault="003319EE" w:rsidP="00D33977">
            <w:pPr>
              <w:rPr>
                <w:rFonts w:ascii="Times New Roman" w:eastAsia="ArialMT" w:hAnsi="Times New Roman" w:cs="Times New Roman"/>
                <w:bCs/>
                <w:sz w:val="24"/>
                <w:szCs w:val="24"/>
              </w:rPr>
            </w:pPr>
            <w:r w:rsidRPr="005D3DE4">
              <w:rPr>
                <w:rFonts w:ascii="Times New Roman" w:eastAsia="ArialMT" w:hAnsi="Times New Roman" w:cs="Times New Roman"/>
                <w:bCs/>
                <w:sz w:val="24"/>
                <w:szCs w:val="24"/>
              </w:rPr>
              <w:t>A bekerült új tantárgy miatt a kreditek újra elosztásra kerültek, hogy ne haladjuk meg a félévi 30 kreditet</w:t>
            </w: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 xml:space="preserve"> (nem történt egyéb változtatás)</w:t>
            </w:r>
            <w:r w:rsidRPr="005D3DE4">
              <w:rPr>
                <w:rFonts w:ascii="Times New Roman" w:eastAsia="ArialMT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B20EFC" w:rsidRPr="005D3DE4" w:rsidRDefault="00B20EFC" w:rsidP="00D339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19EE" w:rsidRPr="005D3DE4" w:rsidRDefault="003319EE" w:rsidP="00D339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3DE4">
        <w:rPr>
          <w:rFonts w:ascii="Times New Roman" w:hAnsi="Times New Roman" w:cs="Times New Roman"/>
          <w:b/>
          <w:sz w:val="24"/>
          <w:szCs w:val="24"/>
        </w:rPr>
        <w:t>III év</w:t>
      </w:r>
    </w:p>
    <w:p w:rsidR="003319EE" w:rsidRPr="005D3DE4" w:rsidRDefault="003319EE" w:rsidP="00D339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3325"/>
        <w:gridCol w:w="363"/>
        <w:gridCol w:w="456"/>
        <w:gridCol w:w="563"/>
        <w:gridCol w:w="350"/>
        <w:gridCol w:w="4478"/>
      </w:tblGrid>
      <w:tr w:rsidR="00CC7538" w:rsidRPr="005D3DE4" w:rsidTr="00CC7538">
        <w:tc>
          <w:tcPr>
            <w:tcW w:w="3325" w:type="dxa"/>
          </w:tcPr>
          <w:p w:rsidR="003319EE" w:rsidRPr="005D3DE4" w:rsidRDefault="003319EE" w:rsidP="00D3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Tantárgy</w:t>
            </w:r>
          </w:p>
        </w:tc>
        <w:tc>
          <w:tcPr>
            <w:tcW w:w="363" w:type="dxa"/>
          </w:tcPr>
          <w:p w:rsidR="003319EE" w:rsidRPr="005D3DE4" w:rsidRDefault="003319EE" w:rsidP="00D3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56" w:type="dxa"/>
          </w:tcPr>
          <w:p w:rsidR="003319EE" w:rsidRPr="005D3DE4" w:rsidRDefault="003319EE" w:rsidP="00D3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Sz</w:t>
            </w:r>
            <w:proofErr w:type="spellEnd"/>
          </w:p>
        </w:tc>
        <w:tc>
          <w:tcPr>
            <w:tcW w:w="563" w:type="dxa"/>
          </w:tcPr>
          <w:p w:rsidR="003319EE" w:rsidRPr="005D3DE4" w:rsidRDefault="003319EE" w:rsidP="00D3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GY</w:t>
            </w:r>
          </w:p>
        </w:tc>
        <w:tc>
          <w:tcPr>
            <w:tcW w:w="350" w:type="dxa"/>
          </w:tcPr>
          <w:p w:rsidR="003319EE" w:rsidRPr="005D3DE4" w:rsidRDefault="003319EE" w:rsidP="00D3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478" w:type="dxa"/>
          </w:tcPr>
          <w:p w:rsidR="003319EE" w:rsidRPr="005D3DE4" w:rsidRDefault="003319EE" w:rsidP="00D33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Indoklás</w:t>
            </w:r>
          </w:p>
        </w:tc>
      </w:tr>
      <w:tr w:rsidR="00AB02B8" w:rsidRPr="005D3DE4" w:rsidTr="00CC7538">
        <w:trPr>
          <w:trHeight w:val="661"/>
        </w:trPr>
        <w:tc>
          <w:tcPr>
            <w:tcW w:w="3325" w:type="dxa"/>
          </w:tcPr>
          <w:p w:rsidR="00AB02B8" w:rsidRPr="005D3DE4" w:rsidRDefault="00AB02B8" w:rsidP="00AB02B8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Reprezentări</w:t>
            </w:r>
            <w:proofErr w:type="spellEnd"/>
            <w:r w:rsidRPr="005D3DE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5D3DE4">
              <w:rPr>
                <w:rFonts w:ascii="Times New Roman" w:hAnsi="Times New Roman" w:cs="Times New Roman"/>
                <w:color w:val="000000"/>
              </w:rPr>
              <w:t>peisagistice</w:t>
            </w:r>
            <w:proofErr w:type="spellEnd"/>
            <w:r w:rsidRPr="005D3DE4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Pr="005D3DE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Peisagistică</w:t>
            </w:r>
            <w:proofErr w:type="spellEnd"/>
            <w:r w:rsidRPr="005D3DE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teritorială</w:t>
            </w:r>
            <w:proofErr w:type="spellEnd"/>
            <w:r w:rsidRPr="005D3DE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și</w:t>
            </w:r>
            <w:proofErr w:type="spellEnd"/>
            <w:r w:rsidRPr="005D3DE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urbană</w:t>
            </w:r>
            <w:proofErr w:type="spellEnd"/>
            <w:r w:rsidRPr="005D3DE4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Construcţia</w:t>
            </w:r>
            <w:proofErr w:type="spellEnd"/>
            <w:r w:rsidRPr="005D3DE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şi</w:t>
            </w:r>
            <w:proofErr w:type="spellEnd"/>
            <w:r w:rsidRPr="005D3DE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întreţinerea</w:t>
            </w:r>
            <w:proofErr w:type="spellEnd"/>
            <w:r w:rsidRPr="005D3DE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obiectivelor</w:t>
            </w:r>
            <w:proofErr w:type="spellEnd"/>
            <w:r w:rsidRPr="005D3DE4">
              <w:rPr>
                <w:rFonts w:ascii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arhitectură</w:t>
            </w:r>
            <w:proofErr w:type="spellEnd"/>
            <w:r w:rsidRPr="005D3DE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peisageră</w:t>
            </w:r>
            <w:proofErr w:type="spellEnd"/>
            <w:r w:rsidRPr="005D3DE4">
              <w:rPr>
                <w:rFonts w:ascii="Times New Roman" w:hAnsi="Times New Roman" w:cs="Times New Roman"/>
                <w:color w:val="000000"/>
              </w:rPr>
              <w:t xml:space="preserve">, </w:t>
            </w:r>
          </w:p>
          <w:p w:rsidR="00AB02B8" w:rsidRPr="005D3DE4" w:rsidRDefault="00AB02B8" w:rsidP="00AB02B8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Restaurarea</w:t>
            </w:r>
            <w:proofErr w:type="spellEnd"/>
            <w:r w:rsidRPr="005D3DE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și</w:t>
            </w:r>
            <w:proofErr w:type="spellEnd"/>
            <w:r w:rsidRPr="005D3DE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reabilitarea</w:t>
            </w:r>
            <w:proofErr w:type="spellEnd"/>
            <w:r w:rsidRPr="005D3DE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peisagistică</w:t>
            </w:r>
            <w:proofErr w:type="spellEnd"/>
            <w:r w:rsidRPr="005D3DE4">
              <w:rPr>
                <w:rFonts w:ascii="Times New Roman" w:hAnsi="Times New Roman" w:cs="Times New Roman"/>
                <w:color w:val="000000"/>
              </w:rPr>
              <w:t xml:space="preserve">, </w:t>
            </w:r>
          </w:p>
          <w:p w:rsidR="00AB02B8" w:rsidRPr="005D3DE4" w:rsidRDefault="00AB02B8" w:rsidP="00AB02B8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Peluze</w:t>
            </w:r>
            <w:proofErr w:type="spellEnd"/>
            <w:r w:rsidRPr="005D3DE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în</w:t>
            </w:r>
            <w:proofErr w:type="spellEnd"/>
            <w:r w:rsidRPr="005D3DE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parcuri</w:t>
            </w:r>
            <w:proofErr w:type="spellEnd"/>
            <w:r w:rsidRPr="005D3DE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și</w:t>
            </w:r>
            <w:proofErr w:type="spellEnd"/>
            <w:r w:rsidRPr="005D3DE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grădini</w:t>
            </w:r>
            <w:proofErr w:type="spellEnd"/>
          </w:p>
          <w:p w:rsidR="00AB02B8" w:rsidRPr="005D3DE4" w:rsidRDefault="00AB02B8" w:rsidP="00AB02B8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Rețele</w:t>
            </w:r>
            <w:proofErr w:type="spellEnd"/>
            <w:r w:rsidRPr="005D3DE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edilitare</w:t>
            </w:r>
            <w:proofErr w:type="spellEnd"/>
          </w:p>
        </w:tc>
        <w:tc>
          <w:tcPr>
            <w:tcW w:w="363" w:type="dxa"/>
          </w:tcPr>
          <w:p w:rsidR="00AB02B8" w:rsidRPr="005D3DE4" w:rsidRDefault="00AB02B8" w:rsidP="00AB0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6" w:type="dxa"/>
          </w:tcPr>
          <w:p w:rsidR="00AB02B8" w:rsidRPr="005D3DE4" w:rsidRDefault="00AB02B8" w:rsidP="00AB0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3" w:type="dxa"/>
          </w:tcPr>
          <w:p w:rsidR="00AB02B8" w:rsidRPr="005D3DE4" w:rsidRDefault="00AB02B8" w:rsidP="00AB0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50" w:type="dxa"/>
          </w:tcPr>
          <w:p w:rsidR="00AB02B8" w:rsidRPr="005D3DE4" w:rsidRDefault="00AB02B8" w:rsidP="00AB0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478" w:type="dxa"/>
          </w:tcPr>
          <w:p w:rsidR="00AB02B8" w:rsidRPr="005D3DE4" w:rsidRDefault="00AB02B8" w:rsidP="00AB02B8">
            <w:pPr>
              <w:rPr>
                <w:rFonts w:ascii="Times New Roman" w:eastAsia="ArialMT" w:hAnsi="Times New Roman" w:cs="Times New Roman"/>
                <w:bCs/>
                <w:sz w:val="24"/>
                <w:szCs w:val="24"/>
              </w:rPr>
            </w:pPr>
            <w:r w:rsidRPr="005D3DE4">
              <w:rPr>
                <w:rFonts w:ascii="Times New Roman" w:eastAsia="ArialMT" w:hAnsi="Times New Roman" w:cs="Times New Roman"/>
                <w:bCs/>
                <w:sz w:val="24"/>
                <w:szCs w:val="24"/>
              </w:rPr>
              <w:t>A gyakorlati órák átkerültek a tervezésihez, szakmailag indokolt, óraszám változás nem történt</w:t>
            </w:r>
          </w:p>
        </w:tc>
      </w:tr>
      <w:tr w:rsidR="00AB02B8" w:rsidRPr="005D3DE4" w:rsidTr="00CC7538">
        <w:trPr>
          <w:trHeight w:val="661"/>
        </w:trPr>
        <w:tc>
          <w:tcPr>
            <w:tcW w:w="3325" w:type="dxa"/>
          </w:tcPr>
          <w:p w:rsidR="00AB02B8" w:rsidRPr="005D3DE4" w:rsidRDefault="00AB02B8" w:rsidP="00AB02B8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lastRenderedPageBreak/>
              <w:t>Rețele</w:t>
            </w:r>
            <w:proofErr w:type="spellEnd"/>
            <w:r w:rsidRPr="005D3DE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edilitare</w:t>
            </w:r>
            <w:proofErr w:type="spellEnd"/>
          </w:p>
          <w:p w:rsidR="00AB02B8" w:rsidRPr="005D3DE4" w:rsidRDefault="00AB02B8" w:rsidP="00AB02B8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Produse</w:t>
            </w:r>
            <w:proofErr w:type="spellEnd"/>
            <w:r w:rsidRPr="005D3DE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pepinieristice</w:t>
            </w:r>
            <w:proofErr w:type="spellEnd"/>
          </w:p>
        </w:tc>
        <w:tc>
          <w:tcPr>
            <w:tcW w:w="363" w:type="dxa"/>
          </w:tcPr>
          <w:p w:rsidR="00AB02B8" w:rsidRPr="005D3DE4" w:rsidRDefault="00AB02B8" w:rsidP="00AB0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6" w:type="dxa"/>
          </w:tcPr>
          <w:p w:rsidR="00AB02B8" w:rsidRPr="005D3DE4" w:rsidRDefault="00AB02B8" w:rsidP="00AB0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3" w:type="dxa"/>
          </w:tcPr>
          <w:p w:rsidR="00AB02B8" w:rsidRPr="005D3DE4" w:rsidRDefault="00AB02B8" w:rsidP="00AB0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" w:type="dxa"/>
          </w:tcPr>
          <w:p w:rsidR="00AB02B8" w:rsidRPr="005D3DE4" w:rsidRDefault="00AB02B8" w:rsidP="00AB0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478" w:type="dxa"/>
          </w:tcPr>
          <w:p w:rsidR="00AB02B8" w:rsidRPr="005D3DE4" w:rsidRDefault="00AB02B8" w:rsidP="00AB02B8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Rețele</w:t>
            </w:r>
            <w:proofErr w:type="spellEnd"/>
            <w:r w:rsidRPr="005D3DE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edilitare</w:t>
            </w:r>
            <w:proofErr w:type="spellEnd"/>
            <w:r w:rsidRPr="005D3DE4">
              <w:rPr>
                <w:rFonts w:ascii="Times New Roman" w:hAnsi="Times New Roman" w:cs="Times New Roman"/>
                <w:color w:val="000000"/>
              </w:rPr>
              <w:t xml:space="preserve"> (választható 1) –a gyakorlati órák átkerülnek tervezési órákhoz és </w:t>
            </w:r>
            <w:proofErr w:type="gramStart"/>
            <w:r w:rsidRPr="005D3DE4">
              <w:rPr>
                <w:rFonts w:ascii="Times New Roman" w:hAnsi="Times New Roman" w:cs="Times New Roman"/>
                <w:color w:val="000000"/>
              </w:rPr>
              <w:t>a</w:t>
            </w:r>
            <w:proofErr w:type="gramEnd"/>
          </w:p>
          <w:p w:rsidR="00AB02B8" w:rsidRPr="005D3DE4" w:rsidRDefault="00AB02B8" w:rsidP="00AB02B8">
            <w:pPr>
              <w:rPr>
                <w:rFonts w:ascii="Times New Roman" w:eastAsia="ArialMT" w:hAnsi="Times New Roman" w:cs="Times New Roman"/>
                <w:bCs/>
                <w:sz w:val="24"/>
                <w:szCs w:val="24"/>
              </w:rPr>
            </w:pPr>
            <w:proofErr w:type="spellStart"/>
            <w:r w:rsidRPr="005D3DE4">
              <w:rPr>
                <w:rFonts w:ascii="Times New Roman" w:eastAsia="ArialMT" w:hAnsi="Times New Roman" w:cs="Times New Roman"/>
                <w:bCs/>
                <w:sz w:val="24"/>
                <w:szCs w:val="24"/>
              </w:rPr>
              <w:t>Produse</w:t>
            </w:r>
            <w:proofErr w:type="spellEnd"/>
            <w:r w:rsidRPr="005D3DE4">
              <w:rPr>
                <w:rFonts w:ascii="Times New Roman" w:eastAsia="ArialMT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D3DE4">
              <w:rPr>
                <w:rFonts w:ascii="Times New Roman" w:eastAsia="ArialMT" w:hAnsi="Times New Roman" w:cs="Times New Roman"/>
                <w:bCs/>
                <w:sz w:val="24"/>
                <w:szCs w:val="24"/>
              </w:rPr>
              <w:t>pepinieristice</w:t>
            </w:r>
            <w:proofErr w:type="spellEnd"/>
            <w:r w:rsidRPr="005D3DE4">
              <w:rPr>
                <w:rFonts w:ascii="Times New Roman" w:eastAsia="ArialMT" w:hAnsi="Times New Roman" w:cs="Times New Roman"/>
                <w:bCs/>
                <w:sz w:val="24"/>
                <w:szCs w:val="24"/>
              </w:rPr>
              <w:t xml:space="preserve"> tárgynál a szemináriumi órák gyakorlati órákhoz, szakmailag indokolt.</w:t>
            </w:r>
          </w:p>
        </w:tc>
      </w:tr>
      <w:tr w:rsidR="00AB02B8" w:rsidRPr="005D3DE4" w:rsidTr="00CC7538">
        <w:tc>
          <w:tcPr>
            <w:tcW w:w="3325" w:type="dxa"/>
          </w:tcPr>
          <w:p w:rsidR="00AB02B8" w:rsidRPr="005D3DE4" w:rsidRDefault="00AB02B8" w:rsidP="00AB02B8">
            <w:pPr>
              <w:rPr>
                <w:rFonts w:ascii="Times New Roman" w:hAnsi="Times New Roman" w:cs="Times New Roman"/>
                <w:color w:val="000000"/>
              </w:rPr>
            </w:pPr>
            <w:r w:rsidRPr="005D3DE4">
              <w:rPr>
                <w:rFonts w:ascii="Times New Roman" w:hAnsi="Times New Roman" w:cs="Times New Roman"/>
                <w:color w:val="000000"/>
              </w:rPr>
              <w:t>CAD/GIS</w:t>
            </w:r>
          </w:p>
        </w:tc>
        <w:tc>
          <w:tcPr>
            <w:tcW w:w="363" w:type="dxa"/>
          </w:tcPr>
          <w:p w:rsidR="00AB02B8" w:rsidRPr="005D3DE4" w:rsidRDefault="00AB02B8" w:rsidP="00AB02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AB02B8" w:rsidRPr="005D3DE4" w:rsidRDefault="00AB02B8" w:rsidP="00AB02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AB02B8" w:rsidRPr="005D3DE4" w:rsidRDefault="00AB02B8" w:rsidP="00AB02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dxa"/>
          </w:tcPr>
          <w:p w:rsidR="00AB02B8" w:rsidRPr="005D3DE4" w:rsidRDefault="00AB02B8" w:rsidP="00AB02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8" w:type="dxa"/>
          </w:tcPr>
          <w:p w:rsidR="00AB02B8" w:rsidRPr="005D3DE4" w:rsidRDefault="00AB02B8" w:rsidP="00AB02B8">
            <w:pPr>
              <w:rPr>
                <w:rFonts w:ascii="Times New Roman" w:hAnsi="Times New Roman" w:cs="Times New Roman"/>
                <w:color w:val="000000"/>
              </w:rPr>
            </w:pPr>
            <w:r w:rsidRPr="005D3DE4">
              <w:rPr>
                <w:rFonts w:ascii="Times New Roman" w:eastAsia="ArialMT" w:hAnsi="Times New Roman" w:cs="Times New Roman"/>
                <w:bCs/>
                <w:sz w:val="24"/>
                <w:szCs w:val="24"/>
              </w:rPr>
              <w:t>A tervezési órák átkerültek a gyakorlathoz, szakmailag indokolt, óraszám változás nem történt</w:t>
            </w:r>
          </w:p>
        </w:tc>
      </w:tr>
      <w:tr w:rsidR="00AB02B8" w:rsidRPr="005D3DE4" w:rsidTr="00CC7538">
        <w:tc>
          <w:tcPr>
            <w:tcW w:w="3325" w:type="dxa"/>
          </w:tcPr>
          <w:p w:rsidR="00AB02B8" w:rsidRPr="005D3DE4" w:rsidRDefault="00AB02B8" w:rsidP="00AB02B8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Practică</w:t>
            </w:r>
            <w:proofErr w:type="spellEnd"/>
            <w:r w:rsidRPr="005D3DE4">
              <w:rPr>
                <w:rFonts w:ascii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domeniu</w:t>
            </w:r>
            <w:proofErr w:type="spellEnd"/>
            <w:r w:rsidRPr="005D3DE4">
              <w:rPr>
                <w:rFonts w:ascii="Times New Roman" w:hAnsi="Times New Roman" w:cs="Times New Roman"/>
                <w:color w:val="000000"/>
              </w:rPr>
              <w:t xml:space="preserve"> III</w:t>
            </w:r>
          </w:p>
          <w:p w:rsidR="00AB02B8" w:rsidRPr="005D3DE4" w:rsidRDefault="00AB02B8" w:rsidP="00AB02B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3" w:type="dxa"/>
          </w:tcPr>
          <w:p w:rsidR="00AB02B8" w:rsidRPr="005D3DE4" w:rsidRDefault="00AB02B8" w:rsidP="00AB02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AB02B8" w:rsidRPr="005D3DE4" w:rsidRDefault="00AB02B8" w:rsidP="00AB02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AB02B8" w:rsidRPr="005D3DE4" w:rsidRDefault="00AB02B8" w:rsidP="00AB02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dxa"/>
          </w:tcPr>
          <w:p w:rsidR="00AB02B8" w:rsidRPr="005D3DE4" w:rsidRDefault="00AB02B8" w:rsidP="00AB02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8" w:type="dxa"/>
          </w:tcPr>
          <w:p w:rsidR="00AB02B8" w:rsidRPr="005D3DE4" w:rsidRDefault="00AB02B8" w:rsidP="00AB02B8">
            <w:pPr>
              <w:rPr>
                <w:rFonts w:ascii="Times New Roman" w:eastAsia="ArialMT" w:hAnsi="Times New Roman" w:cs="Times New Roman"/>
                <w:bCs/>
                <w:sz w:val="24"/>
                <w:szCs w:val="24"/>
              </w:rPr>
            </w:pPr>
            <w:r w:rsidRPr="005D3DE4">
              <w:rPr>
                <w:rFonts w:ascii="Times New Roman" w:eastAsia="ArialMT" w:hAnsi="Times New Roman" w:cs="Times New Roman"/>
                <w:bCs/>
                <w:sz w:val="24"/>
                <w:szCs w:val="24"/>
              </w:rPr>
              <w:t xml:space="preserve">Marad a régi megnevezése - </w:t>
            </w:r>
            <w:proofErr w:type="spellStart"/>
            <w:r w:rsidRPr="005D3DE4">
              <w:rPr>
                <w:rFonts w:ascii="Times New Roman" w:hAnsi="Times New Roman" w:cs="Times New Roman"/>
              </w:rPr>
              <w:t>Practică</w:t>
            </w:r>
            <w:proofErr w:type="spellEnd"/>
            <w:r w:rsidRPr="005D3DE4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5D3DE4">
              <w:rPr>
                <w:rFonts w:ascii="Times New Roman" w:hAnsi="Times New Roman" w:cs="Times New Roman"/>
              </w:rPr>
              <w:t>specialitate</w:t>
            </w:r>
            <w:proofErr w:type="spellEnd"/>
          </w:p>
        </w:tc>
      </w:tr>
      <w:tr w:rsidR="00AB02B8" w:rsidRPr="005D3DE4" w:rsidTr="00CC7538">
        <w:tc>
          <w:tcPr>
            <w:tcW w:w="3325" w:type="dxa"/>
          </w:tcPr>
          <w:p w:rsidR="00AB02B8" w:rsidRPr="005D3DE4" w:rsidRDefault="00AB02B8" w:rsidP="00AB02B8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Produse</w:t>
            </w:r>
            <w:proofErr w:type="spellEnd"/>
            <w:r w:rsidRPr="005D3DE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pepinieristice</w:t>
            </w:r>
            <w:proofErr w:type="spellEnd"/>
          </w:p>
          <w:p w:rsidR="00AB02B8" w:rsidRPr="005D3DE4" w:rsidRDefault="00AB02B8" w:rsidP="00AB02B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3" w:type="dxa"/>
          </w:tcPr>
          <w:p w:rsidR="00AB02B8" w:rsidRPr="005D3DE4" w:rsidRDefault="00AB02B8" w:rsidP="00AB0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AB02B8" w:rsidRPr="005D3DE4" w:rsidRDefault="00AB02B8" w:rsidP="00AB0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563" w:type="dxa"/>
          </w:tcPr>
          <w:p w:rsidR="00AB02B8" w:rsidRPr="005D3DE4" w:rsidRDefault="00AB02B8" w:rsidP="00AB0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350" w:type="dxa"/>
          </w:tcPr>
          <w:p w:rsidR="00AB02B8" w:rsidRPr="005D3DE4" w:rsidRDefault="00AB02B8" w:rsidP="00AB02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8" w:type="dxa"/>
          </w:tcPr>
          <w:p w:rsidR="00AB02B8" w:rsidRPr="005D3DE4" w:rsidRDefault="00AB02B8" w:rsidP="00AB02B8">
            <w:pPr>
              <w:rPr>
                <w:rFonts w:ascii="Times New Roman" w:eastAsia="ArialMT" w:hAnsi="Times New Roman" w:cs="Times New Roman"/>
                <w:bCs/>
                <w:sz w:val="24"/>
                <w:szCs w:val="24"/>
              </w:rPr>
            </w:pPr>
            <w:r w:rsidRPr="005D3DE4">
              <w:rPr>
                <w:rFonts w:ascii="Times New Roman" w:eastAsia="ArialMT" w:hAnsi="Times New Roman" w:cs="Times New Roman"/>
                <w:bCs/>
                <w:sz w:val="24"/>
                <w:szCs w:val="24"/>
              </w:rPr>
              <w:t>A szemináriumi órák átkerültek a gyakorlathoz, szakmailag indokolt, óraszám változás nem történt, mivel válaszható tantárgy (</w:t>
            </w:r>
            <w:proofErr w:type="spellStart"/>
            <w:r w:rsidRPr="005D3DE4">
              <w:rPr>
                <w:rFonts w:ascii="Times New Roman" w:eastAsia="ArialMT" w:hAnsi="Times New Roman" w:cs="Times New Roman"/>
                <w:bCs/>
                <w:sz w:val="24"/>
                <w:szCs w:val="24"/>
              </w:rPr>
              <w:t>Rețele</w:t>
            </w:r>
            <w:proofErr w:type="spellEnd"/>
            <w:r w:rsidRPr="005D3DE4">
              <w:rPr>
                <w:rFonts w:ascii="Times New Roman" w:eastAsia="ArialMT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D3DE4">
              <w:rPr>
                <w:rFonts w:ascii="Times New Roman" w:eastAsia="ArialMT" w:hAnsi="Times New Roman" w:cs="Times New Roman"/>
                <w:bCs/>
                <w:sz w:val="24"/>
                <w:szCs w:val="24"/>
              </w:rPr>
              <w:t>edilitare</w:t>
            </w:r>
            <w:proofErr w:type="spellEnd"/>
            <w:r w:rsidRPr="005D3DE4">
              <w:rPr>
                <w:rFonts w:ascii="Times New Roman" w:eastAsia="ArialMT" w:hAnsi="Times New Roman" w:cs="Times New Roman"/>
                <w:bCs/>
                <w:sz w:val="24"/>
                <w:szCs w:val="24"/>
              </w:rPr>
              <w:t>) minkét tantárgynál kiscsoportos megoldás indokolt (gyakorlat és tervezés).</w:t>
            </w:r>
          </w:p>
        </w:tc>
      </w:tr>
    </w:tbl>
    <w:p w:rsidR="003319EE" w:rsidRPr="005D3DE4" w:rsidRDefault="003319EE" w:rsidP="00B20EF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A5B79" w:rsidRPr="005D3DE4" w:rsidRDefault="00EA5B79" w:rsidP="00EA5B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3DE4">
        <w:rPr>
          <w:rFonts w:ascii="Times New Roman" w:hAnsi="Times New Roman" w:cs="Times New Roman"/>
          <w:b/>
          <w:sz w:val="24"/>
          <w:szCs w:val="24"/>
        </w:rPr>
        <w:t>IV év</w:t>
      </w:r>
    </w:p>
    <w:p w:rsidR="00EA5B79" w:rsidRPr="005D3DE4" w:rsidRDefault="00EA5B79" w:rsidP="00EA5B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535" w:type="dxa"/>
        <w:tblLayout w:type="fixed"/>
        <w:tblLook w:val="04A0" w:firstRow="1" w:lastRow="0" w:firstColumn="1" w:lastColumn="0" w:noHBand="0" w:noVBand="1"/>
      </w:tblPr>
      <w:tblGrid>
        <w:gridCol w:w="3415"/>
        <w:gridCol w:w="273"/>
        <w:gridCol w:w="456"/>
        <w:gridCol w:w="563"/>
        <w:gridCol w:w="350"/>
        <w:gridCol w:w="4478"/>
      </w:tblGrid>
      <w:tr w:rsidR="00EA5B79" w:rsidRPr="005D3DE4" w:rsidTr="00EA5B79">
        <w:tc>
          <w:tcPr>
            <w:tcW w:w="3415" w:type="dxa"/>
          </w:tcPr>
          <w:p w:rsidR="00EA5B79" w:rsidRPr="005D3DE4" w:rsidRDefault="00EA5B79" w:rsidP="0061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Tantárgy</w:t>
            </w:r>
          </w:p>
        </w:tc>
        <w:tc>
          <w:tcPr>
            <w:tcW w:w="273" w:type="dxa"/>
          </w:tcPr>
          <w:p w:rsidR="00EA5B79" w:rsidRPr="005D3DE4" w:rsidRDefault="00EA5B79" w:rsidP="0061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56" w:type="dxa"/>
          </w:tcPr>
          <w:p w:rsidR="00EA5B79" w:rsidRPr="005D3DE4" w:rsidRDefault="00EA5B79" w:rsidP="0061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Sz</w:t>
            </w:r>
            <w:proofErr w:type="spellEnd"/>
          </w:p>
        </w:tc>
        <w:tc>
          <w:tcPr>
            <w:tcW w:w="563" w:type="dxa"/>
          </w:tcPr>
          <w:p w:rsidR="00EA5B79" w:rsidRPr="005D3DE4" w:rsidRDefault="00EA5B79" w:rsidP="0061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GY</w:t>
            </w:r>
          </w:p>
        </w:tc>
        <w:tc>
          <w:tcPr>
            <w:tcW w:w="350" w:type="dxa"/>
          </w:tcPr>
          <w:p w:rsidR="00EA5B79" w:rsidRPr="005D3DE4" w:rsidRDefault="00EA5B79" w:rsidP="00611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478" w:type="dxa"/>
          </w:tcPr>
          <w:p w:rsidR="00EA5B79" w:rsidRPr="005D3DE4" w:rsidRDefault="00EA5B79" w:rsidP="00611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Indoklás</w:t>
            </w:r>
          </w:p>
        </w:tc>
      </w:tr>
      <w:tr w:rsidR="00EA5B79" w:rsidRPr="005D3DE4" w:rsidTr="00EA5B79">
        <w:trPr>
          <w:trHeight w:val="661"/>
        </w:trPr>
        <w:tc>
          <w:tcPr>
            <w:tcW w:w="3415" w:type="dxa"/>
          </w:tcPr>
          <w:p w:rsidR="00EA5B79" w:rsidRPr="005D3DE4" w:rsidRDefault="00EA5B79" w:rsidP="00611586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Construcţii</w:t>
            </w:r>
            <w:proofErr w:type="spellEnd"/>
            <w:r w:rsidRPr="005D3DE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ornamentale</w:t>
            </w:r>
            <w:proofErr w:type="spellEnd"/>
            <w:r w:rsidRPr="005D3DE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şi</w:t>
            </w:r>
            <w:proofErr w:type="spellEnd"/>
            <w:r w:rsidRPr="005D3DE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tehnice</w:t>
            </w:r>
            <w:proofErr w:type="spellEnd"/>
            <w:r w:rsidRPr="005D3DE4">
              <w:rPr>
                <w:rFonts w:ascii="Times New Roman" w:hAnsi="Times New Roman" w:cs="Times New Roman"/>
                <w:color w:val="000000"/>
              </w:rPr>
              <w:t xml:space="preserve"> - </w:t>
            </w:r>
          </w:p>
          <w:p w:rsidR="00EA5B79" w:rsidRPr="005D3DE4" w:rsidRDefault="00EA5B79" w:rsidP="00611586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Tehnica</w:t>
            </w:r>
            <w:proofErr w:type="spellEnd"/>
            <w:r w:rsidRPr="005D3DE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lucrărilor</w:t>
            </w:r>
            <w:proofErr w:type="spellEnd"/>
            <w:r w:rsidRPr="005D3DE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peisagere</w:t>
            </w:r>
            <w:proofErr w:type="spellEnd"/>
          </w:p>
        </w:tc>
        <w:tc>
          <w:tcPr>
            <w:tcW w:w="273" w:type="dxa"/>
          </w:tcPr>
          <w:p w:rsidR="00EA5B79" w:rsidRPr="005D3DE4" w:rsidRDefault="00EA5B79" w:rsidP="006115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EA5B79" w:rsidRPr="005D3DE4" w:rsidRDefault="00EA5B79" w:rsidP="006115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EA5B79" w:rsidRPr="005D3DE4" w:rsidRDefault="00EA5B79" w:rsidP="006115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dxa"/>
          </w:tcPr>
          <w:p w:rsidR="00EA5B79" w:rsidRPr="005D3DE4" w:rsidRDefault="00EA5B79" w:rsidP="006115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8" w:type="dxa"/>
          </w:tcPr>
          <w:p w:rsidR="00EA5B79" w:rsidRPr="005D3DE4" w:rsidRDefault="00EA5B79" w:rsidP="00EA5B79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Construcţii</w:t>
            </w:r>
            <w:proofErr w:type="spellEnd"/>
            <w:r w:rsidRPr="005D3DE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ornamentale</w:t>
            </w:r>
            <w:proofErr w:type="spellEnd"/>
            <w:r w:rsidRPr="005D3DE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şi</w:t>
            </w:r>
            <w:proofErr w:type="spellEnd"/>
            <w:r w:rsidRPr="005D3DE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tehnice</w:t>
            </w:r>
            <w:proofErr w:type="spellEnd"/>
            <w:r w:rsidRPr="005D3DE4">
              <w:rPr>
                <w:rFonts w:ascii="Times New Roman" w:hAnsi="Times New Roman" w:cs="Times New Roman"/>
                <w:color w:val="000000"/>
              </w:rPr>
              <w:t xml:space="preserve"> – kötelező tantárgy lett és helyét cserélt </w:t>
            </w:r>
            <w:proofErr w:type="gramStart"/>
            <w:r w:rsidRPr="005D3DE4">
              <w:rPr>
                <w:rFonts w:ascii="Times New Roman" w:hAnsi="Times New Roman" w:cs="Times New Roman"/>
                <w:color w:val="000000"/>
              </w:rPr>
              <w:t>a</w:t>
            </w:r>
            <w:proofErr w:type="gramEnd"/>
          </w:p>
          <w:p w:rsidR="00EA5B79" w:rsidRPr="005D3DE4" w:rsidRDefault="00EA5B79" w:rsidP="00846A3F">
            <w:pPr>
              <w:rPr>
                <w:rFonts w:ascii="Times New Roman" w:eastAsia="ArialMT" w:hAnsi="Times New Roman" w:cs="Times New Roman"/>
                <w:bCs/>
                <w:sz w:val="24"/>
                <w:szCs w:val="24"/>
              </w:rPr>
            </w:pP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Tehnica</w:t>
            </w:r>
            <w:proofErr w:type="spellEnd"/>
            <w:r w:rsidRPr="005D3DE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lucrărilor</w:t>
            </w:r>
            <w:proofErr w:type="spellEnd"/>
            <w:r w:rsidRPr="005D3DE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peisagere</w:t>
            </w:r>
            <w:proofErr w:type="spellEnd"/>
            <w:r w:rsidRPr="005D3DE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tantárgyal</w:t>
            </w:r>
            <w:proofErr w:type="spellEnd"/>
            <w:r w:rsidRPr="005D3DE4">
              <w:rPr>
                <w:rFonts w:ascii="Times New Roman" w:hAnsi="Times New Roman" w:cs="Times New Roman"/>
                <w:color w:val="000000"/>
              </w:rPr>
              <w:t xml:space="preserve"> (választható 4), </w:t>
            </w: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szakmailag indokoltabb. A gyakorlati órák átkerültek tervezési órákhoz és számát növeltük +1</w:t>
            </w:r>
            <w:r w:rsidR="005D3DE4" w:rsidRPr="005D3DE4">
              <w:rPr>
                <w:rFonts w:ascii="Times New Roman" w:hAnsi="Times New Roman" w:cs="Times New Roman"/>
                <w:sz w:val="24"/>
                <w:szCs w:val="24"/>
              </w:rPr>
              <w:t xml:space="preserve"> és az előadásból elvettünk -1</w:t>
            </w:r>
            <w:r w:rsidR="004852A9" w:rsidRPr="005D3DE4">
              <w:rPr>
                <w:rFonts w:ascii="Times New Roman" w:hAnsi="Times New Roman" w:cs="Times New Roman"/>
                <w:sz w:val="24"/>
                <w:szCs w:val="24"/>
              </w:rPr>
              <w:t>. Tervezés</w:t>
            </w: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 xml:space="preserve"> orientál</w:t>
            </w:r>
            <w:r w:rsidR="004852A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 xml:space="preserve"> tantárgy lett, szakmailag indokoltabb.</w:t>
            </w:r>
          </w:p>
        </w:tc>
      </w:tr>
      <w:tr w:rsidR="00EA5B79" w:rsidRPr="005D3DE4" w:rsidTr="00EA5B79">
        <w:tc>
          <w:tcPr>
            <w:tcW w:w="3415" w:type="dxa"/>
          </w:tcPr>
          <w:p w:rsidR="00087FD5" w:rsidRPr="005D3DE4" w:rsidRDefault="00087FD5" w:rsidP="00087FD5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Compoziții</w:t>
            </w:r>
            <w:proofErr w:type="spellEnd"/>
            <w:r w:rsidRPr="005D3DE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vegetale</w:t>
            </w:r>
            <w:proofErr w:type="spellEnd"/>
            <w:r w:rsidRPr="005D3DE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în</w:t>
            </w:r>
            <w:proofErr w:type="spellEnd"/>
            <w:r w:rsidRPr="005D3DE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amenajări</w:t>
            </w:r>
            <w:proofErr w:type="spellEnd"/>
            <w:r w:rsidRPr="005D3DE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peisagistice</w:t>
            </w:r>
            <w:proofErr w:type="spellEnd"/>
          </w:p>
          <w:p w:rsidR="00EA5B79" w:rsidRPr="005D3DE4" w:rsidRDefault="00087FD5" w:rsidP="00611586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Gestionarea</w:t>
            </w:r>
            <w:proofErr w:type="spellEnd"/>
            <w:r w:rsidRPr="005D3DE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amenajărilor</w:t>
            </w:r>
            <w:proofErr w:type="spellEnd"/>
            <w:r w:rsidRPr="005D3DE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peisagistice</w:t>
            </w:r>
            <w:proofErr w:type="spellEnd"/>
          </w:p>
        </w:tc>
        <w:tc>
          <w:tcPr>
            <w:tcW w:w="273" w:type="dxa"/>
          </w:tcPr>
          <w:p w:rsidR="00EA5B79" w:rsidRPr="005D3DE4" w:rsidRDefault="00EA5B79" w:rsidP="006115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EA5B79" w:rsidRPr="005D3DE4" w:rsidRDefault="00EA5B79" w:rsidP="006115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EA5B79" w:rsidRPr="005D3DE4" w:rsidRDefault="00EA5B79" w:rsidP="006115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dxa"/>
          </w:tcPr>
          <w:p w:rsidR="00EA5B79" w:rsidRPr="005D3DE4" w:rsidRDefault="00EA5B79" w:rsidP="006115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8" w:type="dxa"/>
          </w:tcPr>
          <w:p w:rsidR="00087FD5" w:rsidRPr="005D3DE4" w:rsidRDefault="00087FD5" w:rsidP="00087FD5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Compoziții</w:t>
            </w:r>
            <w:proofErr w:type="spellEnd"/>
            <w:r w:rsidRPr="005D3DE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vegetale</w:t>
            </w:r>
            <w:proofErr w:type="spellEnd"/>
            <w:r w:rsidRPr="005D3DE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în</w:t>
            </w:r>
            <w:proofErr w:type="spellEnd"/>
            <w:r w:rsidRPr="005D3DE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amenajări</w:t>
            </w:r>
            <w:proofErr w:type="spellEnd"/>
            <w:r w:rsidRPr="005D3DE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peisagistice</w:t>
            </w:r>
            <w:proofErr w:type="spellEnd"/>
          </w:p>
          <w:p w:rsidR="00087FD5" w:rsidRPr="005D3DE4" w:rsidRDefault="00087FD5" w:rsidP="00087FD5">
            <w:pPr>
              <w:rPr>
                <w:rFonts w:ascii="Times New Roman" w:hAnsi="Times New Roman" w:cs="Times New Roman"/>
                <w:color w:val="000000"/>
              </w:rPr>
            </w:pPr>
            <w:r w:rsidRPr="005D3DE4">
              <w:rPr>
                <w:rFonts w:ascii="Times New Roman" w:hAnsi="Times New Roman" w:cs="Times New Roman"/>
                <w:color w:val="000000"/>
              </w:rPr>
              <w:t xml:space="preserve">kötelező tantárgy lett és helyét cserélt </w:t>
            </w:r>
            <w:proofErr w:type="gramStart"/>
            <w:r w:rsidRPr="005D3DE4">
              <w:rPr>
                <w:rFonts w:ascii="Times New Roman" w:hAnsi="Times New Roman" w:cs="Times New Roman"/>
                <w:color w:val="000000"/>
              </w:rPr>
              <w:t>a</w:t>
            </w:r>
            <w:proofErr w:type="gramEnd"/>
          </w:p>
          <w:p w:rsidR="00EA5B79" w:rsidRPr="005D3DE4" w:rsidRDefault="00087FD5" w:rsidP="00087FD5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Gestionarea</w:t>
            </w:r>
            <w:proofErr w:type="spellEnd"/>
            <w:r w:rsidRPr="005D3DE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amenajărilor</w:t>
            </w:r>
            <w:proofErr w:type="spellEnd"/>
            <w:r w:rsidRPr="005D3DE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peisagistice</w:t>
            </w:r>
            <w:proofErr w:type="spellEnd"/>
            <w:r w:rsidRPr="005D3DE4">
              <w:rPr>
                <w:rFonts w:ascii="Times New Roman" w:hAnsi="Times New Roman" w:cs="Times New Roman"/>
                <w:color w:val="000000"/>
              </w:rPr>
              <w:t xml:space="preserve"> (választható 2), </w:t>
            </w: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szakmailag indokoltabb. A gyakorlati órák átkerültek tervezési órákhoz és számát növeltük +1. Tervezés orientált tantárgy lett, szakmailag indokoltabb.</w:t>
            </w:r>
          </w:p>
        </w:tc>
      </w:tr>
      <w:tr w:rsidR="00087FD5" w:rsidRPr="005D3DE4" w:rsidTr="00EA5B79">
        <w:tc>
          <w:tcPr>
            <w:tcW w:w="3415" w:type="dxa"/>
          </w:tcPr>
          <w:p w:rsidR="00087FD5" w:rsidRPr="005D3DE4" w:rsidRDefault="00087FD5" w:rsidP="00087FD5">
            <w:pPr>
              <w:rPr>
                <w:rFonts w:ascii="Times New Roman" w:hAnsi="Times New Roman" w:cs="Times New Roman"/>
                <w:color w:val="000000"/>
              </w:rPr>
            </w:pPr>
            <w:r w:rsidRPr="005D3DE4">
              <w:rPr>
                <w:rFonts w:ascii="Times New Roman" w:hAnsi="Times New Roman" w:cs="Times New Roman"/>
                <w:color w:val="000000"/>
              </w:rPr>
              <w:t xml:space="preserve">Design </w:t>
            </w: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în</w:t>
            </w:r>
            <w:proofErr w:type="spellEnd"/>
            <w:r w:rsidRPr="005D3DE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peisagistică</w:t>
            </w:r>
            <w:proofErr w:type="spellEnd"/>
          </w:p>
        </w:tc>
        <w:tc>
          <w:tcPr>
            <w:tcW w:w="273" w:type="dxa"/>
          </w:tcPr>
          <w:p w:rsidR="00087FD5" w:rsidRPr="005D3DE4" w:rsidRDefault="00587531" w:rsidP="00087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" w:type="dxa"/>
          </w:tcPr>
          <w:p w:rsidR="00087FD5" w:rsidRPr="005D3DE4" w:rsidRDefault="00087FD5" w:rsidP="00087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087FD5" w:rsidRPr="005D3DE4" w:rsidRDefault="00587531" w:rsidP="00087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0" w:type="dxa"/>
          </w:tcPr>
          <w:p w:rsidR="00087FD5" w:rsidRPr="005D3DE4" w:rsidRDefault="00087FD5" w:rsidP="00087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8" w:type="dxa"/>
          </w:tcPr>
          <w:p w:rsidR="00087FD5" w:rsidRPr="005D3DE4" w:rsidRDefault="004852A9" w:rsidP="005875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MT" w:hAnsi="Times New Roman" w:cs="Times New Roman"/>
                <w:bCs/>
                <w:sz w:val="24"/>
                <w:szCs w:val="24"/>
              </w:rPr>
              <w:t>Ú</w:t>
            </w:r>
            <w:r w:rsidR="00087FD5" w:rsidRPr="005D3DE4">
              <w:rPr>
                <w:rFonts w:ascii="Times New Roman" w:eastAsia="ArialMT" w:hAnsi="Times New Roman" w:cs="Times New Roman"/>
                <w:bCs/>
                <w:sz w:val="24"/>
                <w:szCs w:val="24"/>
              </w:rPr>
              <w:t>j tantantárgy (ARACIS listában kötelezően javasolt) - elengedhetetlen a szakma megfelelő gyakorlásához valamint egy magasszintű államvizsga dolgozat kidolgozásához</w:t>
            </w:r>
          </w:p>
        </w:tc>
      </w:tr>
      <w:tr w:rsidR="00087FD5" w:rsidRPr="005D3DE4" w:rsidTr="00EA5B79">
        <w:tc>
          <w:tcPr>
            <w:tcW w:w="3415" w:type="dxa"/>
          </w:tcPr>
          <w:p w:rsidR="00610555" w:rsidRPr="005D3DE4" w:rsidRDefault="00610555" w:rsidP="00610555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Dezvoltare</w:t>
            </w:r>
            <w:proofErr w:type="spellEnd"/>
            <w:r w:rsidRPr="005D3DE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rurală</w:t>
            </w:r>
            <w:proofErr w:type="spellEnd"/>
          </w:p>
          <w:p w:rsidR="00087FD5" w:rsidRPr="005D3DE4" w:rsidRDefault="00610555" w:rsidP="00087FD5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Plante</w:t>
            </w:r>
            <w:proofErr w:type="spellEnd"/>
            <w:r w:rsidRPr="005D3DE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ornamentale</w:t>
            </w:r>
            <w:proofErr w:type="spellEnd"/>
            <w:r w:rsidRPr="005D3DE4">
              <w:rPr>
                <w:rFonts w:ascii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5D3DE4">
              <w:rPr>
                <w:rFonts w:ascii="Times New Roman" w:hAnsi="Times New Roman" w:cs="Times New Roman"/>
                <w:color w:val="000000"/>
              </w:rPr>
              <w:t>interior</w:t>
            </w:r>
            <w:proofErr w:type="spellEnd"/>
          </w:p>
        </w:tc>
        <w:tc>
          <w:tcPr>
            <w:tcW w:w="273" w:type="dxa"/>
          </w:tcPr>
          <w:p w:rsidR="00087FD5" w:rsidRPr="005D3DE4" w:rsidRDefault="00087FD5" w:rsidP="00087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087FD5" w:rsidRPr="005D3DE4" w:rsidRDefault="00087FD5" w:rsidP="00087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087FD5" w:rsidRPr="005D3DE4" w:rsidRDefault="00087FD5" w:rsidP="00087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dxa"/>
          </w:tcPr>
          <w:p w:rsidR="00087FD5" w:rsidRPr="005D3DE4" w:rsidRDefault="00087FD5" w:rsidP="00087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8" w:type="dxa"/>
          </w:tcPr>
          <w:p w:rsidR="00087FD5" w:rsidRPr="005D3DE4" w:rsidRDefault="00610555" w:rsidP="00087FD5">
            <w:pPr>
              <w:rPr>
                <w:rFonts w:ascii="Times New Roman" w:eastAsia="ArialMT" w:hAnsi="Times New Roman" w:cs="Times New Roman"/>
                <w:bCs/>
                <w:sz w:val="24"/>
                <w:szCs w:val="24"/>
              </w:rPr>
            </w:pPr>
            <w:r w:rsidRPr="005D3DE4">
              <w:rPr>
                <w:rFonts w:ascii="Times New Roman" w:eastAsia="ArialMT" w:hAnsi="Times New Roman" w:cs="Times New Roman"/>
                <w:bCs/>
                <w:sz w:val="24"/>
                <w:szCs w:val="24"/>
              </w:rPr>
              <w:t xml:space="preserve">A két választható tantárgy helyet cserélt, a tantárgyak szakterületének párosításában indokolt (kertész-kertész szakterület), valamint a </w:t>
            </w:r>
            <w:proofErr w:type="spellStart"/>
            <w:r w:rsidR="00587531" w:rsidRPr="005D3DE4">
              <w:rPr>
                <w:rFonts w:ascii="Times New Roman" w:eastAsia="ArialMT" w:hAnsi="Times New Roman" w:cs="Times New Roman"/>
                <w:bCs/>
                <w:sz w:val="24"/>
                <w:szCs w:val="24"/>
              </w:rPr>
              <w:t>Producerea</w:t>
            </w:r>
            <w:proofErr w:type="spellEnd"/>
            <w:r w:rsidR="00587531" w:rsidRPr="005D3DE4">
              <w:rPr>
                <w:rFonts w:ascii="Times New Roman" w:eastAsia="ArialMT" w:hAnsi="Times New Roman" w:cs="Times New Roman"/>
                <w:bCs/>
                <w:sz w:val="24"/>
                <w:szCs w:val="24"/>
              </w:rPr>
              <w:t xml:space="preserve"> de </w:t>
            </w:r>
            <w:proofErr w:type="spellStart"/>
            <w:r w:rsidR="00587531" w:rsidRPr="005D3DE4">
              <w:rPr>
                <w:rFonts w:ascii="Times New Roman" w:eastAsia="ArialMT" w:hAnsi="Times New Roman" w:cs="Times New Roman"/>
                <w:bCs/>
                <w:sz w:val="24"/>
                <w:szCs w:val="24"/>
              </w:rPr>
              <w:t>sămânţă</w:t>
            </w:r>
            <w:proofErr w:type="spellEnd"/>
            <w:r w:rsidR="00587531" w:rsidRPr="005D3DE4">
              <w:rPr>
                <w:rFonts w:ascii="Times New Roman" w:eastAsia="ArialMT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587531" w:rsidRPr="005D3DE4">
              <w:rPr>
                <w:rFonts w:ascii="Times New Roman" w:eastAsia="ArialMT" w:hAnsi="Times New Roman" w:cs="Times New Roman"/>
                <w:bCs/>
                <w:sz w:val="24"/>
                <w:szCs w:val="24"/>
              </w:rPr>
              <w:t>şi</w:t>
            </w:r>
            <w:proofErr w:type="spellEnd"/>
            <w:r w:rsidR="00587531" w:rsidRPr="005D3DE4">
              <w:rPr>
                <w:rFonts w:ascii="Times New Roman" w:eastAsia="ArialMT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587531" w:rsidRPr="005D3DE4">
              <w:rPr>
                <w:rFonts w:ascii="Times New Roman" w:eastAsia="ArialMT" w:hAnsi="Times New Roman" w:cs="Times New Roman"/>
                <w:bCs/>
                <w:sz w:val="24"/>
                <w:szCs w:val="24"/>
              </w:rPr>
              <w:t>material</w:t>
            </w:r>
            <w:proofErr w:type="spellEnd"/>
            <w:r w:rsidR="00587531" w:rsidRPr="005D3DE4">
              <w:rPr>
                <w:rFonts w:ascii="Times New Roman" w:eastAsia="ArialMT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587531" w:rsidRPr="005D3DE4">
              <w:rPr>
                <w:rFonts w:ascii="Times New Roman" w:eastAsia="ArialMT" w:hAnsi="Times New Roman" w:cs="Times New Roman"/>
                <w:bCs/>
                <w:sz w:val="24"/>
                <w:szCs w:val="24"/>
              </w:rPr>
              <w:t>săditor</w:t>
            </w:r>
            <w:proofErr w:type="spellEnd"/>
            <w:r w:rsidR="00587531" w:rsidRPr="005D3DE4">
              <w:rPr>
                <w:rFonts w:ascii="Times New Roman" w:eastAsia="ArialMT" w:hAnsi="Times New Roman" w:cs="Times New Roman"/>
                <w:bCs/>
                <w:sz w:val="24"/>
                <w:szCs w:val="24"/>
              </w:rPr>
              <w:t xml:space="preserve"> tantárgy is gyakorlati tantárgy lesz (szakmailag is indokolt és a párosítás is ezt kéri).</w:t>
            </w:r>
          </w:p>
        </w:tc>
      </w:tr>
      <w:tr w:rsidR="00587531" w:rsidRPr="005D3DE4" w:rsidTr="00EA5B79">
        <w:tc>
          <w:tcPr>
            <w:tcW w:w="3415" w:type="dxa"/>
          </w:tcPr>
          <w:p w:rsidR="00587531" w:rsidRPr="005D3DE4" w:rsidRDefault="00587531" w:rsidP="00587531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5D3DE4">
              <w:rPr>
                <w:rFonts w:ascii="Times New Roman" w:hAnsi="Times New Roman" w:cs="Times New Roman"/>
                <w:color w:val="000000" w:themeColor="text1"/>
              </w:rPr>
              <w:t>Sistematizarea</w:t>
            </w:r>
            <w:proofErr w:type="spellEnd"/>
            <w:r w:rsidRPr="005D3DE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5D3DE4">
              <w:rPr>
                <w:rFonts w:ascii="Times New Roman" w:hAnsi="Times New Roman" w:cs="Times New Roman"/>
                <w:color w:val="000000" w:themeColor="text1"/>
              </w:rPr>
              <w:t>şi</w:t>
            </w:r>
            <w:proofErr w:type="spellEnd"/>
            <w:r w:rsidRPr="005D3DE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5D3DE4">
              <w:rPr>
                <w:rFonts w:ascii="Times New Roman" w:hAnsi="Times New Roman" w:cs="Times New Roman"/>
                <w:color w:val="000000" w:themeColor="text1"/>
              </w:rPr>
              <w:t>economia</w:t>
            </w:r>
            <w:proofErr w:type="spellEnd"/>
            <w:r w:rsidRPr="005D3DE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proofErr w:type="gramStart"/>
            <w:r w:rsidRPr="005D3DE4">
              <w:rPr>
                <w:rFonts w:ascii="Times New Roman" w:hAnsi="Times New Roman" w:cs="Times New Roman"/>
                <w:color w:val="000000" w:themeColor="text1"/>
              </w:rPr>
              <w:t>aşezărilor</w:t>
            </w:r>
            <w:proofErr w:type="spellEnd"/>
            <w:proofErr w:type="gramEnd"/>
          </w:p>
          <w:p w:rsidR="00587531" w:rsidRPr="005D3DE4" w:rsidRDefault="00587531" w:rsidP="0061055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3" w:type="dxa"/>
          </w:tcPr>
          <w:p w:rsidR="00587531" w:rsidRPr="005D3DE4" w:rsidRDefault="00587531" w:rsidP="00087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587531" w:rsidRPr="005D3DE4" w:rsidRDefault="00587531" w:rsidP="00087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587531" w:rsidRPr="005D3DE4" w:rsidRDefault="00587531" w:rsidP="00087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dxa"/>
          </w:tcPr>
          <w:p w:rsidR="00587531" w:rsidRPr="005D3DE4" w:rsidRDefault="00587531" w:rsidP="00087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8" w:type="dxa"/>
          </w:tcPr>
          <w:p w:rsidR="00587531" w:rsidRPr="005D3DE4" w:rsidRDefault="00587531" w:rsidP="00087FD5">
            <w:pPr>
              <w:rPr>
                <w:rFonts w:ascii="Times New Roman" w:eastAsia="ArialMT" w:hAnsi="Times New Roman" w:cs="Times New Roman"/>
                <w:bCs/>
                <w:sz w:val="24"/>
                <w:szCs w:val="24"/>
              </w:rPr>
            </w:pPr>
            <w:r w:rsidRPr="005D3DE4">
              <w:rPr>
                <w:rFonts w:ascii="Times New Roman" w:eastAsia="ArialMT" w:hAnsi="Times New Roman" w:cs="Times New Roman"/>
                <w:bCs/>
                <w:sz w:val="24"/>
                <w:szCs w:val="24"/>
              </w:rPr>
              <w:t>A gyakorlati órák átkerültek a tervezésihez, szakmailag indokolt, óraszám változás nem történt.</w:t>
            </w:r>
          </w:p>
        </w:tc>
      </w:tr>
    </w:tbl>
    <w:p w:rsidR="008B3EA5" w:rsidRPr="005D3DE4" w:rsidRDefault="008B3EA5" w:rsidP="00FC7E6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7383" w:rsidRPr="005D3DE4" w:rsidRDefault="00687383" w:rsidP="005D3D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DE4">
        <w:rPr>
          <w:rFonts w:ascii="Times New Roman" w:hAnsi="Times New Roman" w:cs="Times New Roman"/>
          <w:sz w:val="24"/>
          <w:szCs w:val="24"/>
        </w:rPr>
        <w:t>Összességében elmondható</w:t>
      </w:r>
      <w:r w:rsidR="004852A9">
        <w:rPr>
          <w:rFonts w:ascii="Times New Roman" w:hAnsi="Times New Roman" w:cs="Times New Roman"/>
          <w:sz w:val="24"/>
          <w:szCs w:val="24"/>
        </w:rPr>
        <w:t>, hogy</w:t>
      </w:r>
      <w:r w:rsidRPr="005D3DE4">
        <w:rPr>
          <w:rFonts w:ascii="Times New Roman" w:hAnsi="Times New Roman" w:cs="Times New Roman"/>
          <w:sz w:val="24"/>
          <w:szCs w:val="24"/>
        </w:rPr>
        <w:t xml:space="preserve"> drasztikus változás nem történt, több tantárgynak az eddigi gyakorlathoz való besorolása átkerült tervezéshez, szakmailag indokolt és nem csak ARACIS de az IFLA</w:t>
      </w:r>
      <w:r w:rsidR="004803E4">
        <w:rPr>
          <w:rFonts w:ascii="Times New Roman" w:hAnsi="Times New Roman" w:cs="Times New Roman"/>
          <w:sz w:val="24"/>
          <w:szCs w:val="24"/>
        </w:rPr>
        <w:t xml:space="preserve"> (</w:t>
      </w:r>
      <w:r w:rsidR="004803E4" w:rsidRPr="004803E4">
        <w:rPr>
          <w:rFonts w:ascii="Times New Roman" w:hAnsi="Times New Roman" w:cs="Times New Roman"/>
          <w:sz w:val="24"/>
          <w:szCs w:val="24"/>
          <w:lang w:val="en-US"/>
        </w:rPr>
        <w:t>International Federation of Landscape Architects</w:t>
      </w:r>
      <w:r w:rsidR="004803E4">
        <w:rPr>
          <w:rFonts w:ascii="Times New Roman" w:hAnsi="Times New Roman" w:cs="Times New Roman"/>
          <w:sz w:val="24"/>
          <w:szCs w:val="24"/>
        </w:rPr>
        <w:t>)</w:t>
      </w:r>
      <w:r w:rsidRPr="005D3DE4">
        <w:rPr>
          <w:rFonts w:ascii="Times New Roman" w:hAnsi="Times New Roman" w:cs="Times New Roman"/>
          <w:sz w:val="24"/>
          <w:szCs w:val="24"/>
        </w:rPr>
        <w:t xml:space="preserve"> ajánlásában is ez szerepel. </w:t>
      </w:r>
    </w:p>
    <w:p w:rsidR="008B3EA5" w:rsidRPr="005D3DE4" w:rsidRDefault="00687383" w:rsidP="005D3D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DE4">
        <w:rPr>
          <w:rFonts w:ascii="Times New Roman" w:hAnsi="Times New Roman" w:cs="Times New Roman"/>
          <w:sz w:val="24"/>
          <w:szCs w:val="24"/>
        </w:rPr>
        <w:t xml:space="preserve">Két új tantárgy került bevezetésre: </w:t>
      </w:r>
    </w:p>
    <w:p w:rsidR="00687383" w:rsidRPr="005D3DE4" w:rsidRDefault="00687383" w:rsidP="005D3DE4">
      <w:pPr>
        <w:spacing w:after="0" w:line="360" w:lineRule="auto"/>
        <w:jc w:val="both"/>
        <w:rPr>
          <w:rFonts w:ascii="Times New Roman" w:eastAsia="ArialMT" w:hAnsi="Times New Roman" w:cs="Times New Roman"/>
          <w:bCs/>
        </w:rPr>
      </w:pPr>
      <w:r w:rsidRPr="005D3DE4">
        <w:rPr>
          <w:rFonts w:ascii="Times New Roman" w:hAnsi="Times New Roman" w:cs="Times New Roman"/>
          <w:sz w:val="24"/>
          <w:szCs w:val="24"/>
        </w:rPr>
        <w:t>-</w:t>
      </w:r>
      <w:r w:rsidRPr="005D3DE4">
        <w:rPr>
          <w:rFonts w:ascii="Times New Roman" w:eastAsia="ArialMT" w:hAnsi="Times New Roman" w:cs="Times New Roman"/>
          <w:bCs/>
        </w:rPr>
        <w:t xml:space="preserve"> a tervezési készség kialakítását-fejlesztését szolgálja, amely elengedhetetlen a szakma megfelelő gyakorlásához. Mindkét javasolt tárgy szervesen épül a tervezési tárgyak sorába,</w:t>
      </w:r>
    </w:p>
    <w:p w:rsidR="00687383" w:rsidRPr="005D3DE4" w:rsidRDefault="006F476C" w:rsidP="005D3DE4">
      <w:pPr>
        <w:spacing w:after="0" w:line="360" w:lineRule="auto"/>
        <w:jc w:val="both"/>
        <w:rPr>
          <w:rFonts w:ascii="Times New Roman" w:eastAsia="ArialMT" w:hAnsi="Times New Roman" w:cs="Times New Roman"/>
          <w:bCs/>
        </w:rPr>
      </w:pPr>
      <w:r w:rsidRPr="005D3DE4">
        <w:rPr>
          <w:rFonts w:ascii="Times New Roman" w:eastAsia="ArialMT" w:hAnsi="Times New Roman" w:cs="Times New Roman"/>
          <w:bCs/>
          <w:lang w:val="ro-RO"/>
        </w:rPr>
        <w:t xml:space="preserve">- </w:t>
      </w:r>
      <w:r w:rsidR="00687383" w:rsidRPr="005D3DE4">
        <w:rPr>
          <w:rFonts w:ascii="Times New Roman" w:eastAsia="ArialMT" w:hAnsi="Times New Roman" w:cs="Times New Roman"/>
          <w:bCs/>
          <w:lang w:val="ro-RO"/>
        </w:rPr>
        <w:t>k</w:t>
      </w:r>
      <w:r w:rsidR="00687383" w:rsidRPr="005D3DE4">
        <w:rPr>
          <w:rFonts w:ascii="Times New Roman" w:eastAsia="ArialMT" w:hAnsi="Times New Roman" w:cs="Times New Roman"/>
          <w:bCs/>
        </w:rPr>
        <w:t>ét új tárgy indokolt bevezetése megköveteli a megfelelő szakmai-tervezői felkészültséggel rendel</w:t>
      </w:r>
      <w:r w:rsidR="005D3DE4">
        <w:rPr>
          <w:rFonts w:ascii="Times New Roman" w:eastAsia="ArialMT" w:hAnsi="Times New Roman" w:cs="Times New Roman"/>
          <w:bCs/>
        </w:rPr>
        <w:t>kező további tájépítész</w:t>
      </w:r>
      <w:r w:rsidR="00687383" w:rsidRPr="005D3DE4">
        <w:rPr>
          <w:rFonts w:ascii="Times New Roman" w:eastAsia="ArialMT" w:hAnsi="Times New Roman" w:cs="Times New Roman"/>
          <w:bCs/>
        </w:rPr>
        <w:t xml:space="preserve"> oktató bevonását, amely csak jelen pillanatban, az akkreditációt követően vált-válik lehetségessé, </w:t>
      </w:r>
    </w:p>
    <w:p w:rsidR="006F476C" w:rsidRPr="005D3DE4" w:rsidRDefault="006F476C" w:rsidP="005D3DE4">
      <w:pPr>
        <w:spacing w:after="0" w:line="360" w:lineRule="auto"/>
        <w:jc w:val="both"/>
        <w:rPr>
          <w:rFonts w:ascii="Times New Roman" w:eastAsia="ArialMT" w:hAnsi="Times New Roman" w:cs="Times New Roman"/>
          <w:bCs/>
        </w:rPr>
      </w:pPr>
      <w:r w:rsidRPr="005D3DE4">
        <w:rPr>
          <w:rFonts w:ascii="Times New Roman" w:eastAsia="ArialMT" w:hAnsi="Times New Roman" w:cs="Times New Roman"/>
          <w:bCs/>
        </w:rPr>
        <w:t xml:space="preserve">- az ARACIS akkreditációnál figyelemben vettük, </w:t>
      </w:r>
      <w:r w:rsidRPr="005D3DE4">
        <w:rPr>
          <w:rFonts w:ascii="Times New Roman" w:eastAsia="ArialMT" w:hAnsi="Times New Roman" w:cs="Times New Roman"/>
          <w:bCs/>
          <w:highlight w:val="yellow"/>
        </w:rPr>
        <w:t>hogy csak egy főállású tájépítész</w:t>
      </w:r>
      <w:r w:rsidRPr="005D3DE4">
        <w:rPr>
          <w:rFonts w:ascii="Times New Roman" w:eastAsia="ArialMT" w:hAnsi="Times New Roman" w:cs="Times New Roman"/>
          <w:bCs/>
        </w:rPr>
        <w:t xml:space="preserve"> kollegánk van ezért mesterségesen kevesebb tájépítész órák kerültek a tantervbe valamint a félévi </w:t>
      </w:r>
      <w:proofErr w:type="spellStart"/>
      <w:r w:rsidRPr="005D3DE4">
        <w:rPr>
          <w:rFonts w:ascii="Times New Roman" w:eastAsia="ArialMT" w:hAnsi="Times New Roman" w:cs="Times New Roman"/>
          <w:bCs/>
        </w:rPr>
        <w:t>max</w:t>
      </w:r>
      <w:proofErr w:type="spellEnd"/>
      <w:r w:rsidRPr="005D3DE4">
        <w:rPr>
          <w:rFonts w:ascii="Times New Roman" w:eastAsia="ArialMT" w:hAnsi="Times New Roman" w:cs="Times New Roman"/>
          <w:bCs/>
        </w:rPr>
        <w:t xml:space="preserve">. 8 tantárgy helyet 6 tantárgyat alkalmaztunk, a közeljövőben pedig indokolt lesz új főállású tájépítész kollegák bevonására és az új tantárgyak ezt az elképzelésünket is segítik. </w:t>
      </w:r>
    </w:p>
    <w:p w:rsidR="006F476C" w:rsidRPr="005D3DE4" w:rsidRDefault="006F476C" w:rsidP="005D3DE4">
      <w:pPr>
        <w:spacing w:after="0" w:line="360" w:lineRule="auto"/>
        <w:jc w:val="both"/>
        <w:rPr>
          <w:rFonts w:ascii="Times New Roman" w:eastAsia="ArialMT" w:hAnsi="Times New Roman" w:cs="Times New Roman"/>
          <w:bCs/>
        </w:rPr>
      </w:pPr>
      <w:r w:rsidRPr="005D3DE4">
        <w:rPr>
          <w:rFonts w:ascii="Times New Roman" w:eastAsia="ArialMT" w:hAnsi="Times New Roman" w:cs="Times New Roman"/>
          <w:bCs/>
        </w:rPr>
        <w:t>- két opcionális tantárgy helyet cserélt és felkerült kötelező tantárgyhoz, szakmailag indokoltabbnak ítéltük,</w:t>
      </w:r>
    </w:p>
    <w:p w:rsidR="006F476C" w:rsidRPr="005D3DE4" w:rsidRDefault="006F476C" w:rsidP="005D3DE4">
      <w:pPr>
        <w:spacing w:after="0" w:line="360" w:lineRule="auto"/>
        <w:jc w:val="both"/>
        <w:rPr>
          <w:rFonts w:ascii="Times New Roman" w:eastAsia="ArialMT" w:hAnsi="Times New Roman" w:cs="Times New Roman"/>
          <w:bCs/>
        </w:rPr>
      </w:pPr>
      <w:r w:rsidRPr="005D3DE4">
        <w:rPr>
          <w:rFonts w:ascii="Times New Roman" w:eastAsia="ArialMT" w:hAnsi="Times New Roman" w:cs="Times New Roman"/>
          <w:bCs/>
        </w:rPr>
        <w:t>- a kredit számok változása az új tantárgyak bekerülésével kerültek változtatásra, hogy a félévi 30 kredit kertben beférjünk.</w:t>
      </w:r>
    </w:p>
    <w:p w:rsidR="006F476C" w:rsidRPr="00687383" w:rsidRDefault="006F476C" w:rsidP="005D3D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F476C" w:rsidRPr="006873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MT">
    <w:charset w:val="EE"/>
    <w:family w:val="swiss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95F"/>
    <w:rsid w:val="00011F69"/>
    <w:rsid w:val="000144B6"/>
    <w:rsid w:val="00022D4A"/>
    <w:rsid w:val="000337E4"/>
    <w:rsid w:val="00035E90"/>
    <w:rsid w:val="00041AB8"/>
    <w:rsid w:val="0004306C"/>
    <w:rsid w:val="00053D90"/>
    <w:rsid w:val="00055EF3"/>
    <w:rsid w:val="000609A2"/>
    <w:rsid w:val="00060E9B"/>
    <w:rsid w:val="00071A5B"/>
    <w:rsid w:val="0007559A"/>
    <w:rsid w:val="0007775F"/>
    <w:rsid w:val="00086895"/>
    <w:rsid w:val="00087FD5"/>
    <w:rsid w:val="00094E6A"/>
    <w:rsid w:val="00097E29"/>
    <w:rsid w:val="000A30D8"/>
    <w:rsid w:val="000A395F"/>
    <w:rsid w:val="000A42E3"/>
    <w:rsid w:val="000B4C0C"/>
    <w:rsid w:val="000C1BBA"/>
    <w:rsid w:val="000C415B"/>
    <w:rsid w:val="000C6F8E"/>
    <w:rsid w:val="000E046D"/>
    <w:rsid w:val="000E1532"/>
    <w:rsid w:val="000E3125"/>
    <w:rsid w:val="000F176E"/>
    <w:rsid w:val="000F4011"/>
    <w:rsid w:val="000F4FAF"/>
    <w:rsid w:val="000F7AF7"/>
    <w:rsid w:val="001021ED"/>
    <w:rsid w:val="00105F33"/>
    <w:rsid w:val="0011505D"/>
    <w:rsid w:val="001156F8"/>
    <w:rsid w:val="00116DBA"/>
    <w:rsid w:val="00146B7A"/>
    <w:rsid w:val="0015309F"/>
    <w:rsid w:val="0015381E"/>
    <w:rsid w:val="001562AE"/>
    <w:rsid w:val="00166923"/>
    <w:rsid w:val="00175A76"/>
    <w:rsid w:val="00181D3A"/>
    <w:rsid w:val="001863F7"/>
    <w:rsid w:val="001972CD"/>
    <w:rsid w:val="001A0D2C"/>
    <w:rsid w:val="001A24BB"/>
    <w:rsid w:val="001A281F"/>
    <w:rsid w:val="001A3E50"/>
    <w:rsid w:val="001A7AE2"/>
    <w:rsid w:val="001B6CE1"/>
    <w:rsid w:val="001D0949"/>
    <w:rsid w:val="001D3B00"/>
    <w:rsid w:val="001E0F2F"/>
    <w:rsid w:val="001E1695"/>
    <w:rsid w:val="001E2490"/>
    <w:rsid w:val="001E6EB5"/>
    <w:rsid w:val="001F1E72"/>
    <w:rsid w:val="001F5285"/>
    <w:rsid w:val="0020409A"/>
    <w:rsid w:val="00211D9C"/>
    <w:rsid w:val="00222CC4"/>
    <w:rsid w:val="002278D1"/>
    <w:rsid w:val="002308A0"/>
    <w:rsid w:val="00232EEC"/>
    <w:rsid w:val="002354E9"/>
    <w:rsid w:val="00245B19"/>
    <w:rsid w:val="00256AD3"/>
    <w:rsid w:val="0025735F"/>
    <w:rsid w:val="00264B54"/>
    <w:rsid w:val="00267B4B"/>
    <w:rsid w:val="00275F4C"/>
    <w:rsid w:val="0028131A"/>
    <w:rsid w:val="00290D5A"/>
    <w:rsid w:val="002920AA"/>
    <w:rsid w:val="002A0C44"/>
    <w:rsid w:val="002A3125"/>
    <w:rsid w:val="002A58F4"/>
    <w:rsid w:val="002C1E89"/>
    <w:rsid w:val="002C3367"/>
    <w:rsid w:val="002D1FAA"/>
    <w:rsid w:val="002E0DC4"/>
    <w:rsid w:val="002E69A0"/>
    <w:rsid w:val="002F4A45"/>
    <w:rsid w:val="002F584E"/>
    <w:rsid w:val="002F78EB"/>
    <w:rsid w:val="003008B8"/>
    <w:rsid w:val="00301922"/>
    <w:rsid w:val="0031015D"/>
    <w:rsid w:val="003101CD"/>
    <w:rsid w:val="00315C1D"/>
    <w:rsid w:val="003179D7"/>
    <w:rsid w:val="00321D79"/>
    <w:rsid w:val="003319EE"/>
    <w:rsid w:val="0033416D"/>
    <w:rsid w:val="0034301E"/>
    <w:rsid w:val="00344FCC"/>
    <w:rsid w:val="00347447"/>
    <w:rsid w:val="00352A82"/>
    <w:rsid w:val="003544B9"/>
    <w:rsid w:val="003658B1"/>
    <w:rsid w:val="00365FED"/>
    <w:rsid w:val="003662C4"/>
    <w:rsid w:val="00366B4A"/>
    <w:rsid w:val="00372CF3"/>
    <w:rsid w:val="00374C48"/>
    <w:rsid w:val="00375A88"/>
    <w:rsid w:val="00383230"/>
    <w:rsid w:val="00384493"/>
    <w:rsid w:val="0039359B"/>
    <w:rsid w:val="0039669E"/>
    <w:rsid w:val="003976E2"/>
    <w:rsid w:val="003A07BD"/>
    <w:rsid w:val="003B16FD"/>
    <w:rsid w:val="003B24FD"/>
    <w:rsid w:val="003B2E6F"/>
    <w:rsid w:val="003C0340"/>
    <w:rsid w:val="003C5819"/>
    <w:rsid w:val="003C63E4"/>
    <w:rsid w:val="003D08B4"/>
    <w:rsid w:val="003D3D2A"/>
    <w:rsid w:val="003D43E1"/>
    <w:rsid w:val="003D4D3F"/>
    <w:rsid w:val="003F3EA6"/>
    <w:rsid w:val="004006F8"/>
    <w:rsid w:val="00400AF2"/>
    <w:rsid w:val="00402679"/>
    <w:rsid w:val="004075A1"/>
    <w:rsid w:val="00407716"/>
    <w:rsid w:val="00407D7B"/>
    <w:rsid w:val="00410D85"/>
    <w:rsid w:val="00415974"/>
    <w:rsid w:val="00424430"/>
    <w:rsid w:val="00426545"/>
    <w:rsid w:val="00434387"/>
    <w:rsid w:val="00434B7D"/>
    <w:rsid w:val="00440BF5"/>
    <w:rsid w:val="00442FA0"/>
    <w:rsid w:val="00446922"/>
    <w:rsid w:val="00454837"/>
    <w:rsid w:val="00467679"/>
    <w:rsid w:val="00474788"/>
    <w:rsid w:val="00475728"/>
    <w:rsid w:val="0047692A"/>
    <w:rsid w:val="00476FFE"/>
    <w:rsid w:val="004802D7"/>
    <w:rsid w:val="004803E4"/>
    <w:rsid w:val="00484AFD"/>
    <w:rsid w:val="004852A9"/>
    <w:rsid w:val="00487D2E"/>
    <w:rsid w:val="00491175"/>
    <w:rsid w:val="004A5D9B"/>
    <w:rsid w:val="004A75E4"/>
    <w:rsid w:val="004C4D3B"/>
    <w:rsid w:val="004D016D"/>
    <w:rsid w:val="004E2559"/>
    <w:rsid w:val="004F134D"/>
    <w:rsid w:val="004F4FAC"/>
    <w:rsid w:val="004F5B81"/>
    <w:rsid w:val="00502EEF"/>
    <w:rsid w:val="0050320C"/>
    <w:rsid w:val="00512DD5"/>
    <w:rsid w:val="005145BC"/>
    <w:rsid w:val="00516B6C"/>
    <w:rsid w:val="00516E37"/>
    <w:rsid w:val="00517DDD"/>
    <w:rsid w:val="00532455"/>
    <w:rsid w:val="005337CB"/>
    <w:rsid w:val="00535211"/>
    <w:rsid w:val="0053782D"/>
    <w:rsid w:val="00540939"/>
    <w:rsid w:val="00542251"/>
    <w:rsid w:val="005456C7"/>
    <w:rsid w:val="00547794"/>
    <w:rsid w:val="00551514"/>
    <w:rsid w:val="005852C8"/>
    <w:rsid w:val="00585EFE"/>
    <w:rsid w:val="00587531"/>
    <w:rsid w:val="00595EBB"/>
    <w:rsid w:val="005A3ABC"/>
    <w:rsid w:val="005A4C61"/>
    <w:rsid w:val="005C228B"/>
    <w:rsid w:val="005D3DE4"/>
    <w:rsid w:val="005D40D6"/>
    <w:rsid w:val="005E42E4"/>
    <w:rsid w:val="00600BE3"/>
    <w:rsid w:val="00605ACD"/>
    <w:rsid w:val="00605E65"/>
    <w:rsid w:val="00607725"/>
    <w:rsid w:val="00610555"/>
    <w:rsid w:val="006127BA"/>
    <w:rsid w:val="006135E1"/>
    <w:rsid w:val="006137FF"/>
    <w:rsid w:val="00624649"/>
    <w:rsid w:val="00625A99"/>
    <w:rsid w:val="00631BF7"/>
    <w:rsid w:val="006320AC"/>
    <w:rsid w:val="0063370E"/>
    <w:rsid w:val="00637E7B"/>
    <w:rsid w:val="006405DB"/>
    <w:rsid w:val="00642A89"/>
    <w:rsid w:val="0064389C"/>
    <w:rsid w:val="00644126"/>
    <w:rsid w:val="00646E81"/>
    <w:rsid w:val="00652231"/>
    <w:rsid w:val="006522AE"/>
    <w:rsid w:val="00656FA1"/>
    <w:rsid w:val="00671D0B"/>
    <w:rsid w:val="006764B2"/>
    <w:rsid w:val="00687383"/>
    <w:rsid w:val="00692FB1"/>
    <w:rsid w:val="006976F4"/>
    <w:rsid w:val="006978F6"/>
    <w:rsid w:val="006A0644"/>
    <w:rsid w:val="006A1172"/>
    <w:rsid w:val="006A28BA"/>
    <w:rsid w:val="006B5C7A"/>
    <w:rsid w:val="006B70A0"/>
    <w:rsid w:val="006C0CB5"/>
    <w:rsid w:val="006C4617"/>
    <w:rsid w:val="006C4781"/>
    <w:rsid w:val="006D0648"/>
    <w:rsid w:val="006E1188"/>
    <w:rsid w:val="006E2DBE"/>
    <w:rsid w:val="006E4A29"/>
    <w:rsid w:val="006E7FB5"/>
    <w:rsid w:val="006F066D"/>
    <w:rsid w:val="006F1584"/>
    <w:rsid w:val="006F476C"/>
    <w:rsid w:val="006F58E7"/>
    <w:rsid w:val="006F7E34"/>
    <w:rsid w:val="00711AEA"/>
    <w:rsid w:val="00715366"/>
    <w:rsid w:val="00717947"/>
    <w:rsid w:val="0072425A"/>
    <w:rsid w:val="00727510"/>
    <w:rsid w:val="00727689"/>
    <w:rsid w:val="007335F9"/>
    <w:rsid w:val="0073394D"/>
    <w:rsid w:val="007344D5"/>
    <w:rsid w:val="00736BA7"/>
    <w:rsid w:val="00746D99"/>
    <w:rsid w:val="0075066E"/>
    <w:rsid w:val="007554CF"/>
    <w:rsid w:val="00761493"/>
    <w:rsid w:val="00761AE8"/>
    <w:rsid w:val="00770EF4"/>
    <w:rsid w:val="0078449D"/>
    <w:rsid w:val="007913D0"/>
    <w:rsid w:val="00791AE0"/>
    <w:rsid w:val="00795247"/>
    <w:rsid w:val="0079542C"/>
    <w:rsid w:val="007A3FA2"/>
    <w:rsid w:val="007A5D83"/>
    <w:rsid w:val="007B1840"/>
    <w:rsid w:val="007B349B"/>
    <w:rsid w:val="007C041C"/>
    <w:rsid w:val="007C1D95"/>
    <w:rsid w:val="007C2796"/>
    <w:rsid w:val="007C45EA"/>
    <w:rsid w:val="007D09CD"/>
    <w:rsid w:val="007D1980"/>
    <w:rsid w:val="007D7A54"/>
    <w:rsid w:val="007E662F"/>
    <w:rsid w:val="007F3D65"/>
    <w:rsid w:val="007F5EF1"/>
    <w:rsid w:val="008053FE"/>
    <w:rsid w:val="00820B09"/>
    <w:rsid w:val="008409C5"/>
    <w:rsid w:val="00843962"/>
    <w:rsid w:val="00846894"/>
    <w:rsid w:val="00846A3F"/>
    <w:rsid w:val="00854E7F"/>
    <w:rsid w:val="00862AD5"/>
    <w:rsid w:val="008636E1"/>
    <w:rsid w:val="00866D68"/>
    <w:rsid w:val="00872EA6"/>
    <w:rsid w:val="00874755"/>
    <w:rsid w:val="00881BCC"/>
    <w:rsid w:val="00882F37"/>
    <w:rsid w:val="008846FD"/>
    <w:rsid w:val="00887056"/>
    <w:rsid w:val="00895265"/>
    <w:rsid w:val="00896629"/>
    <w:rsid w:val="008A6202"/>
    <w:rsid w:val="008B1406"/>
    <w:rsid w:val="008B20A4"/>
    <w:rsid w:val="008B2CC5"/>
    <w:rsid w:val="008B3EA5"/>
    <w:rsid w:val="008B70A9"/>
    <w:rsid w:val="008C2FC0"/>
    <w:rsid w:val="008C5DC6"/>
    <w:rsid w:val="008C60EE"/>
    <w:rsid w:val="008E0FF6"/>
    <w:rsid w:val="00903183"/>
    <w:rsid w:val="00905F2B"/>
    <w:rsid w:val="00913C12"/>
    <w:rsid w:val="00913FD0"/>
    <w:rsid w:val="0091550B"/>
    <w:rsid w:val="009158BE"/>
    <w:rsid w:val="009218CE"/>
    <w:rsid w:val="00921C5A"/>
    <w:rsid w:val="009269C4"/>
    <w:rsid w:val="0093135F"/>
    <w:rsid w:val="0093315D"/>
    <w:rsid w:val="00936DB5"/>
    <w:rsid w:val="0094104E"/>
    <w:rsid w:val="00941468"/>
    <w:rsid w:val="009426D1"/>
    <w:rsid w:val="0094530A"/>
    <w:rsid w:val="00946FA8"/>
    <w:rsid w:val="00955E92"/>
    <w:rsid w:val="00966E46"/>
    <w:rsid w:val="00970ED3"/>
    <w:rsid w:val="00971021"/>
    <w:rsid w:val="0097196D"/>
    <w:rsid w:val="00975D56"/>
    <w:rsid w:val="0097730D"/>
    <w:rsid w:val="0098031A"/>
    <w:rsid w:val="009A5573"/>
    <w:rsid w:val="009A63FC"/>
    <w:rsid w:val="009B33E5"/>
    <w:rsid w:val="009B36C6"/>
    <w:rsid w:val="009C1632"/>
    <w:rsid w:val="009D13F4"/>
    <w:rsid w:val="009D3324"/>
    <w:rsid w:val="009D7E12"/>
    <w:rsid w:val="009E0AB7"/>
    <w:rsid w:val="009E3C02"/>
    <w:rsid w:val="009E3D20"/>
    <w:rsid w:val="009E7949"/>
    <w:rsid w:val="009F498C"/>
    <w:rsid w:val="00A06A5E"/>
    <w:rsid w:val="00A07AC7"/>
    <w:rsid w:val="00A07C4B"/>
    <w:rsid w:val="00A112C7"/>
    <w:rsid w:val="00A13258"/>
    <w:rsid w:val="00A1371C"/>
    <w:rsid w:val="00A13765"/>
    <w:rsid w:val="00A252C4"/>
    <w:rsid w:val="00A36643"/>
    <w:rsid w:val="00A4427D"/>
    <w:rsid w:val="00A45F93"/>
    <w:rsid w:val="00A5171B"/>
    <w:rsid w:val="00A554C4"/>
    <w:rsid w:val="00A57D05"/>
    <w:rsid w:val="00A763E3"/>
    <w:rsid w:val="00A76960"/>
    <w:rsid w:val="00A76B05"/>
    <w:rsid w:val="00A8153B"/>
    <w:rsid w:val="00A87E8E"/>
    <w:rsid w:val="00A90C7D"/>
    <w:rsid w:val="00A93CF1"/>
    <w:rsid w:val="00A978FC"/>
    <w:rsid w:val="00AA14D8"/>
    <w:rsid w:val="00AB02B8"/>
    <w:rsid w:val="00AB0886"/>
    <w:rsid w:val="00AB3FBB"/>
    <w:rsid w:val="00AB7269"/>
    <w:rsid w:val="00AC4C24"/>
    <w:rsid w:val="00AC6BEB"/>
    <w:rsid w:val="00AD54EA"/>
    <w:rsid w:val="00AD5D54"/>
    <w:rsid w:val="00AD6125"/>
    <w:rsid w:val="00AE3024"/>
    <w:rsid w:val="00AE53A8"/>
    <w:rsid w:val="00AE7A05"/>
    <w:rsid w:val="00AF140F"/>
    <w:rsid w:val="00AF6BBA"/>
    <w:rsid w:val="00B07290"/>
    <w:rsid w:val="00B132B6"/>
    <w:rsid w:val="00B14C68"/>
    <w:rsid w:val="00B154B2"/>
    <w:rsid w:val="00B20EFC"/>
    <w:rsid w:val="00B24557"/>
    <w:rsid w:val="00B273B7"/>
    <w:rsid w:val="00B31623"/>
    <w:rsid w:val="00B46EA1"/>
    <w:rsid w:val="00B5145B"/>
    <w:rsid w:val="00B53248"/>
    <w:rsid w:val="00B53424"/>
    <w:rsid w:val="00B5492B"/>
    <w:rsid w:val="00B5597B"/>
    <w:rsid w:val="00B6017D"/>
    <w:rsid w:val="00B60BBE"/>
    <w:rsid w:val="00B616BD"/>
    <w:rsid w:val="00B66160"/>
    <w:rsid w:val="00B66CED"/>
    <w:rsid w:val="00B6776C"/>
    <w:rsid w:val="00B77395"/>
    <w:rsid w:val="00B8467F"/>
    <w:rsid w:val="00B9183F"/>
    <w:rsid w:val="00BA1D38"/>
    <w:rsid w:val="00BA6611"/>
    <w:rsid w:val="00BB0267"/>
    <w:rsid w:val="00BB1389"/>
    <w:rsid w:val="00BB3A5A"/>
    <w:rsid w:val="00BB6F47"/>
    <w:rsid w:val="00BC2DE6"/>
    <w:rsid w:val="00BC59C0"/>
    <w:rsid w:val="00BD138D"/>
    <w:rsid w:val="00BD1788"/>
    <w:rsid w:val="00BD3050"/>
    <w:rsid w:val="00BF0105"/>
    <w:rsid w:val="00BF3FC4"/>
    <w:rsid w:val="00BF4BAA"/>
    <w:rsid w:val="00C017BC"/>
    <w:rsid w:val="00C03907"/>
    <w:rsid w:val="00C03982"/>
    <w:rsid w:val="00C04C69"/>
    <w:rsid w:val="00C175E6"/>
    <w:rsid w:val="00C17846"/>
    <w:rsid w:val="00C27073"/>
    <w:rsid w:val="00C30AF0"/>
    <w:rsid w:val="00C33F56"/>
    <w:rsid w:val="00C424ED"/>
    <w:rsid w:val="00C45F52"/>
    <w:rsid w:val="00C53A69"/>
    <w:rsid w:val="00C5628D"/>
    <w:rsid w:val="00C60422"/>
    <w:rsid w:val="00C65166"/>
    <w:rsid w:val="00C6784C"/>
    <w:rsid w:val="00C73309"/>
    <w:rsid w:val="00C7462E"/>
    <w:rsid w:val="00C7709E"/>
    <w:rsid w:val="00C869B1"/>
    <w:rsid w:val="00C93F58"/>
    <w:rsid w:val="00CA3714"/>
    <w:rsid w:val="00CA4126"/>
    <w:rsid w:val="00CA67E1"/>
    <w:rsid w:val="00CB231D"/>
    <w:rsid w:val="00CC4F71"/>
    <w:rsid w:val="00CC6EB9"/>
    <w:rsid w:val="00CC7538"/>
    <w:rsid w:val="00CC769E"/>
    <w:rsid w:val="00CC76A7"/>
    <w:rsid w:val="00CD075E"/>
    <w:rsid w:val="00CD1F1A"/>
    <w:rsid w:val="00CD3954"/>
    <w:rsid w:val="00CE7243"/>
    <w:rsid w:val="00CF09D9"/>
    <w:rsid w:val="00CF4C36"/>
    <w:rsid w:val="00D03BC1"/>
    <w:rsid w:val="00D0642A"/>
    <w:rsid w:val="00D06B13"/>
    <w:rsid w:val="00D253C0"/>
    <w:rsid w:val="00D31CF7"/>
    <w:rsid w:val="00D33049"/>
    <w:rsid w:val="00D33977"/>
    <w:rsid w:val="00D3459A"/>
    <w:rsid w:val="00D412F3"/>
    <w:rsid w:val="00D50038"/>
    <w:rsid w:val="00D50C7F"/>
    <w:rsid w:val="00D531B3"/>
    <w:rsid w:val="00D54BFC"/>
    <w:rsid w:val="00D571F0"/>
    <w:rsid w:val="00D75F80"/>
    <w:rsid w:val="00D80030"/>
    <w:rsid w:val="00DA0494"/>
    <w:rsid w:val="00DA4D1E"/>
    <w:rsid w:val="00DA6188"/>
    <w:rsid w:val="00DB4D48"/>
    <w:rsid w:val="00DC09A3"/>
    <w:rsid w:val="00DC17FF"/>
    <w:rsid w:val="00DC3848"/>
    <w:rsid w:val="00DC5B4C"/>
    <w:rsid w:val="00DD0A9B"/>
    <w:rsid w:val="00DD0BF4"/>
    <w:rsid w:val="00DD7EDC"/>
    <w:rsid w:val="00DE73FC"/>
    <w:rsid w:val="00DE7A10"/>
    <w:rsid w:val="00DF3F8E"/>
    <w:rsid w:val="00DF498D"/>
    <w:rsid w:val="00DF4B1C"/>
    <w:rsid w:val="00DF4BB5"/>
    <w:rsid w:val="00DF4CA1"/>
    <w:rsid w:val="00E0002B"/>
    <w:rsid w:val="00E030E1"/>
    <w:rsid w:val="00E03F3D"/>
    <w:rsid w:val="00E052E4"/>
    <w:rsid w:val="00E0711F"/>
    <w:rsid w:val="00E076D3"/>
    <w:rsid w:val="00E07C21"/>
    <w:rsid w:val="00E22B43"/>
    <w:rsid w:val="00E25E81"/>
    <w:rsid w:val="00E279E4"/>
    <w:rsid w:val="00E3312E"/>
    <w:rsid w:val="00E35072"/>
    <w:rsid w:val="00E35C84"/>
    <w:rsid w:val="00E36218"/>
    <w:rsid w:val="00E403E9"/>
    <w:rsid w:val="00E4672D"/>
    <w:rsid w:val="00E55B84"/>
    <w:rsid w:val="00E60008"/>
    <w:rsid w:val="00E61B0B"/>
    <w:rsid w:val="00E64041"/>
    <w:rsid w:val="00E65420"/>
    <w:rsid w:val="00E658DF"/>
    <w:rsid w:val="00E674C2"/>
    <w:rsid w:val="00E7316B"/>
    <w:rsid w:val="00E74068"/>
    <w:rsid w:val="00E77DE3"/>
    <w:rsid w:val="00E83E10"/>
    <w:rsid w:val="00E92141"/>
    <w:rsid w:val="00EA3DE0"/>
    <w:rsid w:val="00EA422B"/>
    <w:rsid w:val="00EA5B79"/>
    <w:rsid w:val="00EA77AA"/>
    <w:rsid w:val="00EB1637"/>
    <w:rsid w:val="00EB28CE"/>
    <w:rsid w:val="00EB3CD1"/>
    <w:rsid w:val="00EB5FA7"/>
    <w:rsid w:val="00EC1A3B"/>
    <w:rsid w:val="00EC1D85"/>
    <w:rsid w:val="00ED5D50"/>
    <w:rsid w:val="00ED7373"/>
    <w:rsid w:val="00ED7EBD"/>
    <w:rsid w:val="00EE7E1B"/>
    <w:rsid w:val="00EF469A"/>
    <w:rsid w:val="00EF63C2"/>
    <w:rsid w:val="00EF69C1"/>
    <w:rsid w:val="00EF70C7"/>
    <w:rsid w:val="00F01FE5"/>
    <w:rsid w:val="00F03F76"/>
    <w:rsid w:val="00F06AFF"/>
    <w:rsid w:val="00F0769F"/>
    <w:rsid w:val="00F150CC"/>
    <w:rsid w:val="00F1555D"/>
    <w:rsid w:val="00F162FC"/>
    <w:rsid w:val="00F27376"/>
    <w:rsid w:val="00F30EC7"/>
    <w:rsid w:val="00F31C55"/>
    <w:rsid w:val="00F72EB2"/>
    <w:rsid w:val="00F80532"/>
    <w:rsid w:val="00F95D68"/>
    <w:rsid w:val="00FA75B5"/>
    <w:rsid w:val="00FC5A19"/>
    <w:rsid w:val="00FC7E63"/>
    <w:rsid w:val="00FD0187"/>
    <w:rsid w:val="00FD2961"/>
    <w:rsid w:val="00FE220C"/>
    <w:rsid w:val="00FE7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3F2DFA-C975-49FD-950B-2D8AF7550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A39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768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kentelky</dc:creator>
  <cp:keywords/>
  <dc:description/>
  <cp:lastModifiedBy>Gep</cp:lastModifiedBy>
  <cp:revision>2</cp:revision>
  <dcterms:created xsi:type="dcterms:W3CDTF">2019-07-27T20:36:00Z</dcterms:created>
  <dcterms:modified xsi:type="dcterms:W3CDTF">2019-07-27T20:36:00Z</dcterms:modified>
</cp:coreProperties>
</file>