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E9" w:rsidRDefault="008027E9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00FBE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="009432F9" w:rsidRPr="00D00FBE" w:rsidRDefault="009432F9" w:rsidP="009432F9">
      <w:pPr>
        <w:spacing w:after="0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149"/>
      </w:tblGrid>
      <w:tr w:rsidR="008027E9" w:rsidRPr="00D00FBE" w:rsidTr="009D47A8">
        <w:tc>
          <w:tcPr>
            <w:tcW w:w="4219" w:type="dxa"/>
          </w:tcPr>
          <w:p w:rsidR="008027E9" w:rsidRPr="00D00FBE" w:rsidRDefault="009432F9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8027E9" w:rsidRPr="00D00FBE">
              <w:rPr>
                <w:rFonts w:ascii="Times New Roman" w:hAnsi="Times New Roman"/>
                <w:sz w:val="24"/>
                <w:szCs w:val="24"/>
              </w:rPr>
              <w:t>Instituţia de învăţământ superior</w:t>
            </w:r>
          </w:p>
        </w:tc>
        <w:tc>
          <w:tcPr>
            <w:tcW w:w="6149" w:type="dxa"/>
          </w:tcPr>
          <w:p w:rsidR="008027E9" w:rsidRPr="00D00FBE" w:rsidRDefault="00C332A4" w:rsidP="000C5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Universitatea Sapientia din Cluj</w:t>
            </w:r>
            <w:r w:rsidR="000C58EB">
              <w:rPr>
                <w:rFonts w:ascii="Times New Roman" w:hAnsi="Times New Roman"/>
                <w:sz w:val="24"/>
                <w:szCs w:val="24"/>
              </w:rPr>
              <w:t>-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Napoca</w:t>
            </w:r>
          </w:p>
        </w:tc>
      </w:tr>
      <w:tr w:rsidR="008027E9" w:rsidRPr="00D00FBE" w:rsidTr="009D47A8">
        <w:tc>
          <w:tcPr>
            <w:tcW w:w="4219" w:type="dxa"/>
          </w:tcPr>
          <w:p w:rsidR="008027E9" w:rsidRPr="00D00FBE" w:rsidRDefault="009432F9" w:rsidP="008B3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8027E9" w:rsidRPr="00D00FBE">
              <w:rPr>
                <w:rFonts w:ascii="Times New Roman" w:hAnsi="Times New Roman"/>
                <w:sz w:val="24"/>
                <w:szCs w:val="24"/>
              </w:rPr>
              <w:t>Facultatea</w:t>
            </w:r>
          </w:p>
        </w:tc>
        <w:tc>
          <w:tcPr>
            <w:tcW w:w="6149" w:type="dxa"/>
          </w:tcPr>
          <w:p w:rsidR="008027E9" w:rsidRPr="00D00FBE" w:rsidRDefault="002553C2" w:rsidP="0025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Științe Tehnice și Umaniste Târgu-Mureș</w:t>
            </w:r>
          </w:p>
        </w:tc>
      </w:tr>
      <w:tr w:rsidR="008027E9" w:rsidRPr="00D00FBE" w:rsidTr="009D47A8">
        <w:tc>
          <w:tcPr>
            <w:tcW w:w="4219" w:type="dxa"/>
          </w:tcPr>
          <w:p w:rsidR="008027E9" w:rsidRPr="00D00FBE" w:rsidRDefault="00757AC5" w:rsidP="00943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B3371">
              <w:rPr>
                <w:rFonts w:ascii="Times New Roman" w:hAnsi="Times New Roman"/>
                <w:sz w:val="24"/>
                <w:szCs w:val="24"/>
              </w:rPr>
              <w:t>3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="008027E9" w:rsidRPr="00D00FBE">
              <w:rPr>
                <w:rFonts w:ascii="Times New Roman" w:hAnsi="Times New Roman"/>
                <w:sz w:val="24"/>
                <w:szCs w:val="24"/>
              </w:rPr>
              <w:t xml:space="preserve"> Domeniul de studii</w:t>
            </w:r>
          </w:p>
        </w:tc>
        <w:tc>
          <w:tcPr>
            <w:tcW w:w="6149" w:type="dxa"/>
          </w:tcPr>
          <w:p w:rsidR="008027E9" w:rsidRPr="00D00FBE" w:rsidRDefault="00B04A28" w:rsidP="00E31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Limbi moderne aplicate / Științe administrative / Științe ale comunicării</w:t>
            </w:r>
          </w:p>
        </w:tc>
      </w:tr>
      <w:tr w:rsidR="008027E9" w:rsidRPr="00D00FBE" w:rsidTr="009D47A8">
        <w:tc>
          <w:tcPr>
            <w:tcW w:w="4219" w:type="dxa"/>
          </w:tcPr>
          <w:p w:rsidR="008027E9" w:rsidRPr="00D00FBE" w:rsidRDefault="00757AC5" w:rsidP="00943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B3371">
              <w:rPr>
                <w:rFonts w:ascii="Times New Roman" w:hAnsi="Times New Roman"/>
                <w:sz w:val="24"/>
                <w:szCs w:val="24"/>
              </w:rPr>
              <w:t>4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="008027E9" w:rsidRPr="00D00FBE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</w:p>
        </w:tc>
        <w:tc>
          <w:tcPr>
            <w:tcW w:w="6149" w:type="dxa"/>
          </w:tcPr>
          <w:p w:rsidR="008027E9" w:rsidRPr="00D00FBE" w:rsidRDefault="002553C2" w:rsidP="00C33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Licenţă</w:t>
            </w:r>
          </w:p>
        </w:tc>
      </w:tr>
      <w:tr w:rsidR="008027E9" w:rsidRPr="00D00FBE" w:rsidTr="009D47A8">
        <w:tc>
          <w:tcPr>
            <w:tcW w:w="4219" w:type="dxa"/>
          </w:tcPr>
          <w:p w:rsidR="008027E9" w:rsidRPr="00D00FBE" w:rsidRDefault="00757AC5" w:rsidP="008B3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B3371">
              <w:rPr>
                <w:rFonts w:ascii="Times New Roman" w:hAnsi="Times New Roman"/>
                <w:sz w:val="24"/>
                <w:szCs w:val="24"/>
              </w:rPr>
              <w:t>5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="008027E9" w:rsidRPr="00D00FBE">
              <w:rPr>
                <w:rFonts w:ascii="Times New Roman" w:hAnsi="Times New Roman"/>
                <w:sz w:val="24"/>
                <w:szCs w:val="24"/>
              </w:rPr>
              <w:t xml:space="preserve"> Programul de studiu </w:t>
            </w:r>
          </w:p>
        </w:tc>
        <w:tc>
          <w:tcPr>
            <w:tcW w:w="6149" w:type="dxa"/>
          </w:tcPr>
          <w:p w:rsidR="008027E9" w:rsidRPr="00D00FBE" w:rsidRDefault="00B04A28" w:rsidP="00E32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Traducere și interpretare / Servicii și politici de sănătate publică / Comunicare și relații publice</w:t>
            </w:r>
          </w:p>
        </w:tc>
      </w:tr>
      <w:tr w:rsidR="008B3371" w:rsidRPr="00D00FBE" w:rsidTr="009D47A8">
        <w:tc>
          <w:tcPr>
            <w:tcW w:w="4219" w:type="dxa"/>
          </w:tcPr>
          <w:p w:rsidR="008B3371" w:rsidRDefault="008B3371" w:rsidP="00943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Calificarea</w:t>
            </w:r>
          </w:p>
        </w:tc>
        <w:tc>
          <w:tcPr>
            <w:tcW w:w="6149" w:type="dxa"/>
          </w:tcPr>
          <w:p w:rsidR="008B3371" w:rsidRPr="00D00FBE" w:rsidRDefault="008B3371" w:rsidP="00E32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91"/>
        <w:gridCol w:w="994"/>
        <w:gridCol w:w="518"/>
        <w:gridCol w:w="540"/>
        <w:gridCol w:w="501"/>
        <w:gridCol w:w="1658"/>
        <w:gridCol w:w="543"/>
        <w:gridCol w:w="2699"/>
        <w:gridCol w:w="540"/>
      </w:tblGrid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2.0. Departamentul</w:t>
            </w:r>
          </w:p>
        </w:tc>
        <w:tc>
          <w:tcPr>
            <w:tcW w:w="5440" w:type="dxa"/>
            <w:gridSpan w:val="4"/>
          </w:tcPr>
          <w:p w:rsidR="00B04A28" w:rsidRPr="00A868C1" w:rsidRDefault="00B04A28" w:rsidP="006079C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Științe Sociale Aplicate / Lingvistica Aplicata</w:t>
            </w:r>
          </w:p>
        </w:tc>
      </w:tr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2.1. Denumirea disciplinei</w:t>
            </w:r>
          </w:p>
        </w:tc>
        <w:tc>
          <w:tcPr>
            <w:tcW w:w="5440" w:type="dxa"/>
            <w:gridSpan w:val="4"/>
          </w:tcPr>
          <w:p w:rsidR="00B04A28" w:rsidRPr="00A868C1" w:rsidRDefault="00B04A28" w:rsidP="000C58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Istoria culturii III.</w:t>
            </w:r>
          </w:p>
        </w:tc>
      </w:tr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9D4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2.2. Titularul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disciplinei   / a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activităţilor de curs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C33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Tamási Zsolt-József</w:t>
            </w:r>
          </w:p>
        </w:tc>
      </w:tr>
      <w:tr w:rsidR="00B04A28" w:rsidRPr="00D00FBE" w:rsidTr="009D47A8">
        <w:trPr>
          <w:trHeight w:val="191"/>
        </w:trPr>
        <w:tc>
          <w:tcPr>
            <w:tcW w:w="3369" w:type="dxa"/>
            <w:gridSpan w:val="3"/>
            <w:vMerge w:val="restart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2.3. Titularul (ii) activităţilor de </w:t>
            </w:r>
          </w:p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440" w:type="dxa"/>
            <w:gridSpan w:val="4"/>
          </w:tcPr>
          <w:p w:rsidR="00B04A28" w:rsidRPr="001B2BA8" w:rsidRDefault="00B04A28" w:rsidP="000C58EB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B04A28" w:rsidRPr="00D00FBE" w:rsidTr="009D47A8">
        <w:trPr>
          <w:trHeight w:val="190"/>
        </w:trPr>
        <w:tc>
          <w:tcPr>
            <w:tcW w:w="3369" w:type="dxa"/>
            <w:gridSpan w:val="3"/>
            <w:vMerge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0C5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28" w:rsidRPr="00D00FBE" w:rsidTr="009D47A8">
        <w:trPr>
          <w:trHeight w:val="190"/>
        </w:trPr>
        <w:tc>
          <w:tcPr>
            <w:tcW w:w="3369" w:type="dxa"/>
            <w:gridSpan w:val="3"/>
            <w:vMerge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7742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28" w:rsidRPr="00D00FBE" w:rsidTr="00E3215E">
        <w:tc>
          <w:tcPr>
            <w:tcW w:w="1984" w:type="dxa"/>
          </w:tcPr>
          <w:p w:rsidR="00B04A28" w:rsidRPr="00D00FBE" w:rsidRDefault="00B04A28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2.4. Anul de studiu</w:t>
            </w:r>
          </w:p>
        </w:tc>
        <w:tc>
          <w:tcPr>
            <w:tcW w:w="391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12" w:type="dxa"/>
            <w:gridSpan w:val="2"/>
          </w:tcPr>
          <w:p w:rsidR="00B04A28" w:rsidRPr="00D00FBE" w:rsidRDefault="00B04A28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2.5. Semestrul</w:t>
            </w:r>
          </w:p>
        </w:tc>
        <w:tc>
          <w:tcPr>
            <w:tcW w:w="540" w:type="dxa"/>
          </w:tcPr>
          <w:p w:rsidR="00B04A28" w:rsidRPr="00D00FBE" w:rsidRDefault="00B04A28" w:rsidP="00BF12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gridSpan w:val="2"/>
          </w:tcPr>
          <w:p w:rsidR="00B04A28" w:rsidRPr="00D00FBE" w:rsidRDefault="00B04A28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43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99" w:type="dxa"/>
          </w:tcPr>
          <w:p w:rsidR="00B04A28" w:rsidRPr="00D00FBE" w:rsidRDefault="00B04A28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2.7. Regimul disciplinei</w:t>
            </w:r>
          </w:p>
        </w:tc>
        <w:tc>
          <w:tcPr>
            <w:tcW w:w="540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8940D5" w:rsidRPr="00D00FBE" w:rsidRDefault="008027E9" w:rsidP="008940D5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3. Timpul total estimat</w:t>
      </w:r>
      <w:r w:rsidRPr="00D00FBE">
        <w:rPr>
          <w:rFonts w:ascii="Times New Roman" w:hAnsi="Times New Roman"/>
          <w:sz w:val="24"/>
          <w:szCs w:val="24"/>
        </w:rPr>
        <w:t xml:space="preserve"> (ore pe semestru al activităţilor didactice)</w:t>
      </w:r>
      <w:r w:rsidR="008940D5" w:rsidRPr="008940D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720"/>
        <w:gridCol w:w="270"/>
        <w:gridCol w:w="1080"/>
        <w:gridCol w:w="720"/>
        <w:gridCol w:w="630"/>
        <w:gridCol w:w="2700"/>
        <w:gridCol w:w="990"/>
      </w:tblGrid>
      <w:tr w:rsidR="008940D5" w:rsidRPr="00D00FBE" w:rsidTr="007123B6">
        <w:tc>
          <w:tcPr>
            <w:tcW w:w="3258" w:type="dxa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3.1. Număr de ore pe săptămână</w:t>
            </w:r>
          </w:p>
        </w:tc>
        <w:tc>
          <w:tcPr>
            <w:tcW w:w="72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</w:tcPr>
          <w:p w:rsidR="008940D5" w:rsidRDefault="008940D5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Din care: 3.2. curs</w:t>
            </w:r>
          </w:p>
          <w:p w:rsidR="008940D5" w:rsidRDefault="008940D5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online</w:t>
            </w:r>
          </w:p>
          <w:p w:rsidR="008940D5" w:rsidRPr="00D00FBE" w:rsidRDefault="008940D5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face-to-face</w:t>
            </w:r>
          </w:p>
        </w:tc>
        <w:tc>
          <w:tcPr>
            <w:tcW w:w="630" w:type="dxa"/>
          </w:tcPr>
          <w:p w:rsidR="008940D5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0D5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8940D5" w:rsidRPr="001C6FB6" w:rsidRDefault="008940D5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3.3. seminar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940D5" w:rsidRPr="001C6FB6" w:rsidRDefault="008940D5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  laborator/</w:t>
            </w:r>
          </w:p>
          <w:p w:rsidR="008940D5" w:rsidRDefault="008940D5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roiect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40D5" w:rsidRPr="001C6FB6" w:rsidRDefault="008940D5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practica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40D5" w:rsidRPr="00D00FBE" w:rsidTr="007123B6">
        <w:tc>
          <w:tcPr>
            <w:tcW w:w="3258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3.4. Total ore din planul de învăţământ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:rsidR="008940D5" w:rsidRDefault="008940D5" w:rsidP="007123B6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Din care: 3.5. curs</w:t>
            </w:r>
          </w:p>
          <w:p w:rsidR="008940D5" w:rsidRDefault="008940D5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online</w:t>
            </w:r>
          </w:p>
          <w:p w:rsidR="008940D5" w:rsidRPr="00D00FBE" w:rsidRDefault="008940D5" w:rsidP="007123B6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face-to-face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40D5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940D5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940D5" w:rsidRPr="001C6FB6" w:rsidRDefault="008940D5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>3.6. seminar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40D5" w:rsidRPr="001C6FB6" w:rsidRDefault="008940D5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aborator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40D5" w:rsidRDefault="008940D5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proiect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40D5" w:rsidRPr="001C6FB6" w:rsidRDefault="008940D5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practica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color w:val="000000"/>
                <w:sz w:val="24"/>
                <w:szCs w:val="24"/>
              </w:rPr>
              <w:t>ore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990" w:type="dxa"/>
          </w:tcPr>
          <w:p w:rsidR="008940D5" w:rsidRPr="006B3038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1C6FB6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40D5" w:rsidRPr="00D00FBE" w:rsidTr="007123B6">
        <w:tc>
          <w:tcPr>
            <w:tcW w:w="9378" w:type="dxa"/>
            <w:gridSpan w:val="7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Alte activităţi: </w:t>
            </w:r>
          </w:p>
        </w:tc>
        <w:tc>
          <w:tcPr>
            <w:tcW w:w="990" w:type="dxa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40D5" w:rsidRPr="00D00FBE" w:rsidTr="007123B6">
        <w:trPr>
          <w:gridAfter w:val="4"/>
          <w:wAfter w:w="5040" w:type="dxa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3.7. Total ore studiu individual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940D5" w:rsidRPr="00D00FBE" w:rsidTr="007123B6">
        <w:trPr>
          <w:gridAfter w:val="4"/>
          <w:wAfter w:w="5040" w:type="dxa"/>
          <w:trHeight w:val="42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3.8. Total ore pe semestru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40D5" w:rsidRPr="00D00FBE" w:rsidTr="007123B6">
        <w:trPr>
          <w:gridAfter w:val="4"/>
          <w:wAfter w:w="5040" w:type="dxa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3.9. Numărul de puncte de credit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40D5" w:rsidRPr="00D00FBE" w:rsidRDefault="008940D5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40D5" w:rsidRPr="00D00FBE" w:rsidRDefault="008940D5" w:rsidP="008940D5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8940D5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 xml:space="preserve">4. Precondiţii </w:t>
      </w:r>
      <w:r w:rsidRPr="00D00FBE"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380"/>
      </w:tblGrid>
      <w:tr w:rsidR="008027E9" w:rsidRPr="00D00FBE" w:rsidTr="00602EBC">
        <w:tc>
          <w:tcPr>
            <w:tcW w:w="2988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4.1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curriculum</w:t>
            </w:r>
          </w:p>
        </w:tc>
        <w:tc>
          <w:tcPr>
            <w:tcW w:w="7380" w:type="dxa"/>
          </w:tcPr>
          <w:p w:rsidR="008027E9" w:rsidRPr="00D00FBE" w:rsidRDefault="008027E9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7E9" w:rsidRPr="00D00FBE" w:rsidTr="00602EBC">
        <w:tc>
          <w:tcPr>
            <w:tcW w:w="2988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4.2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competenţe</w:t>
            </w:r>
          </w:p>
        </w:tc>
        <w:tc>
          <w:tcPr>
            <w:tcW w:w="7380" w:type="dxa"/>
          </w:tcPr>
          <w:p w:rsidR="008027E9" w:rsidRPr="00D00FBE" w:rsidRDefault="002553C2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dobândirea unor cunoştinţe fundamentale privind contextul istoric al arcului </w:t>
            </w:r>
            <w:r>
              <w:lastRenderedPageBreak/>
              <w:t>Carpatic</w:t>
            </w: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A5014E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5. Condiţii</w:t>
      </w:r>
      <w:r w:rsidRPr="00D00FBE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786"/>
      </w:tblGrid>
      <w:tr w:rsidR="008027E9" w:rsidRPr="00D00FBE" w:rsidTr="00237E01">
        <w:tc>
          <w:tcPr>
            <w:tcW w:w="3896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5.1</w:t>
            </w:r>
            <w:r w:rsidR="00BF122D" w:rsidRPr="00D00F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desfăşurare a cursului</w:t>
            </w:r>
          </w:p>
        </w:tc>
        <w:tc>
          <w:tcPr>
            <w:tcW w:w="6786" w:type="dxa"/>
          </w:tcPr>
          <w:p w:rsidR="008027E9" w:rsidRPr="00D00FBE" w:rsidRDefault="008940D5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laptop, proiector, internet, difuzoare / platforma electronica</w:t>
            </w:r>
          </w:p>
        </w:tc>
      </w:tr>
      <w:tr w:rsidR="008027E9" w:rsidRPr="00D00FBE" w:rsidTr="00237E01">
        <w:tc>
          <w:tcPr>
            <w:tcW w:w="3896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5.2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 De desfăşurare a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seminarului/laboratorului</w:t>
            </w:r>
            <w:r w:rsidR="00371DED" w:rsidRPr="001C6FB6">
              <w:rPr>
                <w:rFonts w:ascii="Times New Roman" w:hAnsi="Times New Roman"/>
                <w:sz w:val="24"/>
                <w:szCs w:val="24"/>
              </w:rPr>
              <w:t>/proiectului</w:t>
            </w:r>
          </w:p>
        </w:tc>
        <w:tc>
          <w:tcPr>
            <w:tcW w:w="6786" w:type="dxa"/>
          </w:tcPr>
          <w:p w:rsidR="008027E9" w:rsidRPr="00D00FBE" w:rsidRDefault="008027E9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ED" w:rsidRPr="00D00FBE" w:rsidRDefault="00371DE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8027E9" w:rsidRPr="00D00FBE" w:rsidTr="007E77AD">
        <w:trPr>
          <w:cantSplit/>
          <w:trHeight w:val="2872"/>
        </w:trPr>
        <w:tc>
          <w:tcPr>
            <w:tcW w:w="1008" w:type="dxa"/>
            <w:shd w:val="clear" w:color="auto" w:fill="D9D9D9" w:themeFill="background1" w:themeFillShade="D9"/>
            <w:textDirection w:val="btLr"/>
            <w:vAlign w:val="center"/>
          </w:tcPr>
          <w:p w:rsidR="008027E9" w:rsidRPr="00D00FBE" w:rsidRDefault="008027E9" w:rsidP="0066684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BE"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:rsidR="002553C2" w:rsidRPr="001D612C" w:rsidRDefault="002553C2" w:rsidP="002553C2">
            <w:pPr>
              <w:spacing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dobândirea unor cunoştinţe fundamentale privind contextul istoric al arcului Carpatic în perioada tratată.</w:t>
            </w:r>
          </w:p>
          <w:p w:rsidR="002553C2" w:rsidRDefault="002553C2" w:rsidP="002553C2">
            <w:pPr>
              <w:spacing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capacitatea de a utiliza cunoştinţele acumulate în context interdisciplinar în studierea disciplinelor de bază a specializării</w:t>
            </w:r>
          </w:p>
          <w:p w:rsidR="00666848" w:rsidRPr="00D00FBE" w:rsidRDefault="002553C2" w:rsidP="002553C2">
            <w:pPr>
              <w:spacing w:after="0" w:line="240" w:lineRule="auto"/>
              <w:ind w:left="162" w:right="-20"/>
            </w:pPr>
            <w:r w:rsidRPr="001D612C">
              <w:rPr>
                <w:rFonts w:ascii="Times New Roman" w:hAnsi="Times New Roman"/>
                <w:sz w:val="24"/>
                <w:szCs w:val="24"/>
                <w:lang w:val="it-IT"/>
              </w:rPr>
              <w:t>competen</w:t>
            </w:r>
            <w:r w:rsidRPr="001D612C">
              <w:rPr>
                <w:rFonts w:ascii="Times New Roman" w:hAnsi="Times New Roman"/>
                <w:sz w:val="24"/>
                <w:szCs w:val="24"/>
              </w:rPr>
              <w:t>țe de a sensibiliza apartenența la comunitatea etnică maghiară din Transilvania</w:t>
            </w:r>
          </w:p>
        </w:tc>
      </w:tr>
      <w:tr w:rsidR="008027E9" w:rsidRPr="00D00FBE" w:rsidTr="007E77AD">
        <w:trPr>
          <w:cantSplit/>
          <w:trHeight w:val="1775"/>
        </w:trPr>
        <w:tc>
          <w:tcPr>
            <w:tcW w:w="1008" w:type="dxa"/>
            <w:shd w:val="clear" w:color="auto" w:fill="D9D9D9" w:themeFill="background1" w:themeFillShade="D9"/>
            <w:textDirection w:val="btLr"/>
          </w:tcPr>
          <w:p w:rsidR="008027E9" w:rsidRPr="00D00FBE" w:rsidRDefault="008027E9" w:rsidP="00666848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0FBE"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:rsidR="00666848" w:rsidRPr="00D00FBE" w:rsidRDefault="00666848" w:rsidP="001C6FB6">
            <w:pPr>
              <w:spacing w:after="0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22D" w:rsidRPr="00D00FBE" w:rsidRDefault="00BF122D" w:rsidP="006668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7. Obiectivele disciplinei</w:t>
      </w:r>
      <w:r w:rsidRPr="00D00FBE"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8027E9" w:rsidRPr="00D00FBE" w:rsidTr="007E77AD">
        <w:tc>
          <w:tcPr>
            <w:tcW w:w="2988" w:type="dxa"/>
            <w:shd w:val="clear" w:color="auto" w:fill="D9D9D9" w:themeFill="background1" w:themeFillShade="D9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7.1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Obiectivul general al disciplinei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:rsidR="008027E9" w:rsidRPr="00F72804" w:rsidRDefault="00B17CC8" w:rsidP="001858E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 xml:space="preserve">Scopul cursului este de a lărgi cultura generală a studenţilor din cadrul Universităţii, inclusiv prin prezentarea trecutului, a perspectivelor istorice. </w:t>
            </w:r>
            <w:r w:rsidRPr="001D61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Cronologic cursul parcurge evenimentele de la </w:t>
            </w:r>
            <w:r w:rsidR="001858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instaurarea regimului austric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până la anii premergători al primului război mondial., cu accent pe relații internaționale, economice, probleme de </w:t>
            </w:r>
            <w:r w:rsidR="00754C21">
              <w:rPr>
                <w:rFonts w:ascii="Times New Roman" w:hAnsi="Times New Roman"/>
                <w:sz w:val="24"/>
                <w:szCs w:val="24"/>
                <w:lang w:val="it-IT"/>
              </w:rPr>
              <w:t>refor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mă și aplicarea acestora în perioada tratată</w:t>
            </w:r>
          </w:p>
        </w:tc>
      </w:tr>
      <w:tr w:rsidR="008027E9" w:rsidRPr="00D00FBE" w:rsidTr="007E77AD">
        <w:tc>
          <w:tcPr>
            <w:tcW w:w="2988" w:type="dxa"/>
            <w:shd w:val="clear" w:color="auto" w:fill="D9D9D9" w:themeFill="background1" w:themeFillShade="D9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7.2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 w:themeFill="background1" w:themeFillShade="D9"/>
          </w:tcPr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Cunoașterea și utilizarea adecvată a terminologiei istorice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Utilizarea și exprimarea proprie a termenelor calendaristice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>Identificarea şi clasificarea surselor istorice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>Localizarea în timp şi în spaţiu a faptelor istorice</w:t>
            </w:r>
          </w:p>
          <w:p w:rsidR="002553C2" w:rsidRPr="001D612C" w:rsidRDefault="002553C2" w:rsidP="0025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Elaborarea de instrumente grafice folosind informaţii</w:t>
            </w:r>
          </w:p>
          <w:p w:rsidR="00D24033" w:rsidRPr="00D00FBE" w:rsidRDefault="00D24033" w:rsidP="001C6FB6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330"/>
        <w:gridCol w:w="1844"/>
      </w:tblGrid>
      <w:tr w:rsidR="00774235" w:rsidRPr="00D00FBE" w:rsidTr="00DD3C3A">
        <w:tc>
          <w:tcPr>
            <w:tcW w:w="5508" w:type="dxa"/>
            <w:shd w:val="clear" w:color="auto" w:fill="D9D9D9" w:themeFill="background1" w:themeFillShade="D9"/>
          </w:tcPr>
          <w:p w:rsidR="00774235" w:rsidRPr="00D00FBE" w:rsidRDefault="0077423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8.1. Curs</w:t>
            </w:r>
          </w:p>
        </w:tc>
        <w:tc>
          <w:tcPr>
            <w:tcW w:w="3330" w:type="dxa"/>
            <w:shd w:val="clear" w:color="auto" w:fill="FFFFFF" w:themeFill="background1"/>
          </w:tcPr>
          <w:p w:rsidR="00774235" w:rsidRPr="00D00FBE" w:rsidRDefault="00774235" w:rsidP="001C6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774235" w:rsidRPr="00D00FBE" w:rsidRDefault="00774235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t>Regimul Habsburgic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bookmarkStart w:id="0" w:name="_GoBack"/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  <w:bookmarkEnd w:id="0"/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t>Lupta de independență – Rakoczi Ferenc al II-lea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t>Absolutismul iliminist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t>Perioada dietelor de reformă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Contextul european revoluționar 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375050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lastRenderedPageBreak/>
              <w:t>Revoluția din 1848-1849. Anul 1848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3F0D1C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Lupta de libertate și conflicte 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050">
              <w:rPr>
                <w:rFonts w:ascii="Times New Roman" w:hAnsi="Times New Roman"/>
              </w:rPr>
              <w:t>Revoluția din 1848-1849. Anul 1849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Reprimările șineoabsolutism 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Liberalismul şi situaţia minorităţilor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Pactul dualist: 1867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FC3E41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Dualism – reforme econmice, politică internă și externă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761DBA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Naţiuni şi religii</w:t>
            </w:r>
            <w:r>
              <w:rPr>
                <w:rFonts w:ascii="Times New Roman" w:hAnsi="Times New Roman"/>
              </w:rPr>
              <w:t xml:space="preserve">, </w:t>
            </w:r>
            <w:r w:rsidRPr="00761DBA">
              <w:rPr>
                <w:rFonts w:ascii="Times New Roman" w:hAnsi="Times New Roman"/>
              </w:rPr>
              <w:t>Cultură şi şcoală în dualism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8940D5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8940D5" w:rsidRPr="00761DBA" w:rsidRDefault="008940D5" w:rsidP="008940D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1896</w:t>
            </w:r>
            <w:r>
              <w:rPr>
                <w:rFonts w:ascii="Times New Roman" w:hAnsi="Times New Roman"/>
              </w:rPr>
              <w:t xml:space="preserve"> - </w:t>
            </w:r>
            <w:r w:rsidRPr="00761DBA">
              <w:rPr>
                <w:rFonts w:ascii="Times New Roman" w:hAnsi="Times New Roman"/>
              </w:rPr>
              <w:t>anul Milleneumului</w:t>
            </w:r>
          </w:p>
        </w:tc>
        <w:tc>
          <w:tcPr>
            <w:tcW w:w="3330" w:type="dxa"/>
          </w:tcPr>
          <w:p w:rsidR="008940D5" w:rsidRPr="00FC3E41" w:rsidRDefault="008940D5" w:rsidP="008940D5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8940D5" w:rsidRDefault="008940D5" w:rsidP="008940D5">
            <w:r w:rsidRPr="00907F87">
              <w:rPr>
                <w:rFonts w:ascii="Times New Roman" w:hAnsi="Times New Roman"/>
                <w:sz w:val="24"/>
                <w:szCs w:val="24"/>
              </w:rPr>
              <w:t>2 ore</w:t>
            </w:r>
          </w:p>
        </w:tc>
      </w:tr>
      <w:tr w:rsidR="001858E1" w:rsidRPr="008B3371" w:rsidTr="007E77AD">
        <w:tc>
          <w:tcPr>
            <w:tcW w:w="10682" w:type="dxa"/>
            <w:gridSpan w:val="3"/>
            <w:shd w:val="clear" w:color="auto" w:fill="D9D9D9" w:themeFill="background1" w:themeFillShade="D9"/>
          </w:tcPr>
          <w:p w:rsidR="001858E1" w:rsidRDefault="001858E1" w:rsidP="001C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Bibliografie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i/>
                <w:iCs/>
                <w:sz w:val="20"/>
                <w:szCs w:val="20"/>
              </w:rPr>
              <w:t>... ”Haza, a magasban” : magyar nemzetismeret a külhoni magyar diákoknak</w:t>
            </w:r>
            <w:r w:rsidRPr="004E0340">
              <w:rPr>
                <w:sz w:val="20"/>
                <w:szCs w:val="20"/>
              </w:rPr>
              <w:t>, Lakitelek  2003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i/>
                <w:iCs/>
                <w:sz w:val="20"/>
                <w:szCs w:val="20"/>
              </w:rPr>
              <w:t>... Magyar évszázadok</w:t>
            </w:r>
            <w:r w:rsidRPr="004E0340">
              <w:rPr>
                <w:sz w:val="20"/>
                <w:szCs w:val="20"/>
              </w:rPr>
              <w:t>, Budapest 1988-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i/>
                <w:iCs/>
                <w:sz w:val="20"/>
                <w:szCs w:val="20"/>
              </w:rPr>
              <w:t>... Történelmünk a Duna-medencében</w:t>
            </w:r>
            <w:r w:rsidRPr="004E0340">
              <w:rPr>
                <w:sz w:val="20"/>
                <w:szCs w:val="20"/>
              </w:rPr>
              <w:t>, Kolozsvár ; Temesvár 1998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sz w:val="20"/>
                <w:szCs w:val="20"/>
              </w:rPr>
              <w:t xml:space="preserve">Andrási Gábor: </w:t>
            </w:r>
            <w:r w:rsidRPr="00543DEB">
              <w:rPr>
                <w:i/>
                <w:iCs/>
                <w:sz w:val="20"/>
                <w:szCs w:val="20"/>
              </w:rPr>
              <w:t>The history of Hungarian art in the twentieth century</w:t>
            </w:r>
            <w:r w:rsidRPr="00543DEB">
              <w:rPr>
                <w:sz w:val="20"/>
                <w:szCs w:val="20"/>
              </w:rPr>
              <w:t>, Budapest 1999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>Antal László, G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.: Situatia minoritatii etnice maghiare in Romania</w:t>
            </w:r>
            <w:r w:rsidRPr="00543DEB">
              <w:rPr>
                <w:sz w:val="20"/>
                <w:szCs w:val="20"/>
                <w:lang w:val="it-IT"/>
              </w:rPr>
              <w:t>, Odorheiu Secuiesc 1993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Bagossy László (szerk): </w:t>
            </w:r>
            <w:r w:rsidRPr="004E0340">
              <w:rPr>
                <w:i/>
                <w:iCs/>
                <w:sz w:val="20"/>
                <w:szCs w:val="20"/>
              </w:rPr>
              <w:t>Encyclopaedia Hungarica</w:t>
            </w:r>
            <w:r w:rsidRPr="004E0340">
              <w:rPr>
                <w:sz w:val="20"/>
                <w:szCs w:val="20"/>
              </w:rPr>
              <w:t>, Calgary, Alberta 1992-1998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Bárány Attila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Történetírás és forráskritika</w:t>
            </w:r>
            <w:r w:rsidRPr="00543DEB">
              <w:rPr>
                <w:sz w:val="20"/>
                <w:szCs w:val="20"/>
                <w:lang w:val="it-IT"/>
              </w:rPr>
              <w:t>, Máriabesnyő 2003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Beke György: </w:t>
            </w:r>
            <w:r w:rsidRPr="004E0340">
              <w:rPr>
                <w:i/>
                <w:iCs/>
                <w:sz w:val="20"/>
                <w:szCs w:val="20"/>
              </w:rPr>
              <w:t>Barangolások Erdélyben</w:t>
            </w:r>
            <w:r w:rsidRPr="004E0340">
              <w:rPr>
                <w:sz w:val="20"/>
                <w:szCs w:val="20"/>
              </w:rPr>
              <w:t>, Budapest 1996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Benkő Samu: </w:t>
            </w:r>
            <w:r w:rsidRPr="004E0340">
              <w:rPr>
                <w:i/>
                <w:iCs/>
                <w:sz w:val="20"/>
                <w:szCs w:val="20"/>
              </w:rPr>
              <w:t>Murokország : művelődéstörténeti barangolás szülőföldemen</w:t>
            </w:r>
            <w:r w:rsidRPr="004E0340">
              <w:rPr>
                <w:sz w:val="20"/>
                <w:szCs w:val="20"/>
              </w:rPr>
              <w:t>, Bukarest 1972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Bereznay András: </w:t>
            </w:r>
            <w:r w:rsidRPr="004E0340">
              <w:rPr>
                <w:i/>
                <w:iCs/>
                <w:sz w:val="20"/>
                <w:szCs w:val="20"/>
              </w:rPr>
              <w:t>Erdély történetének atlasza</w:t>
            </w:r>
            <w:r w:rsidRPr="004E0340">
              <w:rPr>
                <w:sz w:val="20"/>
                <w:szCs w:val="20"/>
              </w:rPr>
              <w:t>, Somorja 2011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Bíró Sándor: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Kisebbségben és többségben : románok és magyarok 1867-1940</w:t>
            </w:r>
            <w:r w:rsidRPr="00543DEB">
              <w:rPr>
                <w:sz w:val="20"/>
                <w:szCs w:val="20"/>
                <w:lang w:val="it-IT"/>
              </w:rPr>
              <w:t xml:space="preserve">, 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Boia, Lucian: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Történelem és mítosz a román köztudatban</w:t>
            </w:r>
            <w:r w:rsidRPr="004E0340">
              <w:rPr>
                <w:sz w:val="20"/>
                <w:szCs w:val="20"/>
                <w:lang w:val="pt-PT"/>
              </w:rPr>
              <w:t>, Bukarest ; Kolozsvár 1999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>Borsi-Kálmán Béla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: Illúziókergetés és ismétléskényszer ? : román - magyar nemzetpolitikai elgondolások és megegyezési kísérletek a XIX. században : tanulmányok</w:t>
            </w:r>
            <w:r w:rsidRPr="00543DEB">
              <w:rPr>
                <w:sz w:val="20"/>
                <w:szCs w:val="20"/>
                <w:lang w:val="it-IT"/>
              </w:rPr>
              <w:t>, Bukarest ; Budapest 1995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Cserei Mihály: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Erdély históriája</w:t>
            </w:r>
            <w:r w:rsidRPr="004E0340">
              <w:rPr>
                <w:sz w:val="20"/>
                <w:szCs w:val="20"/>
                <w:lang w:val="pt-PT"/>
              </w:rPr>
              <w:t>, Kolozsvár 2005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Csetri Elek, Jakó Zsigmond, Tonk Sándor (szerk):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Művelődéstörténeti tanulmányok</w:t>
            </w:r>
            <w:r w:rsidRPr="004E0340">
              <w:rPr>
                <w:sz w:val="20"/>
                <w:szCs w:val="20"/>
                <w:lang w:val="pt-PT"/>
              </w:rPr>
              <w:t>, Bukarest 1979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Csizmadia Andor (szerk):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Magyar állam- és jogtörténet</w:t>
            </w:r>
            <w:r w:rsidRPr="004E0340">
              <w:rPr>
                <w:sz w:val="20"/>
                <w:szCs w:val="20"/>
                <w:lang w:val="pt-PT"/>
              </w:rPr>
              <w:t>, Budapest 1991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Egyed Ákos: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A székelyek rövid története a megtelepedéstől 1918-ig</w:t>
            </w:r>
            <w:r w:rsidRPr="004E0340">
              <w:rPr>
                <w:sz w:val="20"/>
                <w:szCs w:val="20"/>
                <w:lang w:val="pt-PT"/>
              </w:rPr>
              <w:t>, Csíkszereda 2009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Egyed Ákos: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Az erdélyi magyarság történetéből : 1790-1914</w:t>
            </w:r>
            <w:r w:rsidRPr="00543DEB">
              <w:rPr>
                <w:sz w:val="20"/>
                <w:szCs w:val="20"/>
                <w:lang w:val="it-IT"/>
              </w:rPr>
              <w:t>, Kolozsvár 2004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Endes Miklós: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Csík-, Gyergyó-, Kászon-székek (Csík megye) földjének és népének története 1918-ig</w:t>
            </w:r>
            <w:r w:rsidRPr="004E0340">
              <w:rPr>
                <w:sz w:val="20"/>
                <w:szCs w:val="20"/>
                <w:lang w:val="pt-PT"/>
              </w:rPr>
              <w:t>, Budapest 1994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Faragó Tamás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Magyarország társadalomtörténete a 18-19. században</w:t>
            </w:r>
            <w:r w:rsidRPr="00543DEB">
              <w:rPr>
                <w:sz w:val="20"/>
                <w:szCs w:val="20"/>
                <w:lang w:val="it-IT"/>
              </w:rPr>
              <w:t>, Budapest  2004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Földes György: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Magyarország, Románia és a nemzeti kérdés : 1956-1989</w:t>
            </w:r>
            <w:r w:rsidRPr="00543DEB">
              <w:rPr>
                <w:sz w:val="20"/>
                <w:szCs w:val="20"/>
                <w:lang w:val="it-IT"/>
              </w:rPr>
              <w:t>, Budapest 2007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Glatz Ferenc (szerk):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História</w:t>
            </w:r>
            <w:r w:rsidRPr="004E0340">
              <w:rPr>
                <w:sz w:val="20"/>
                <w:szCs w:val="20"/>
                <w:lang w:val="pt-PT"/>
              </w:rPr>
              <w:t>, Budapest 1991-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Glatz Ferenc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Szomszédaink között Kelet-Európában : emlékkönyv Niederhauser Emil 70. születésnapjára</w:t>
            </w:r>
            <w:r w:rsidRPr="00543DEB">
              <w:rPr>
                <w:sz w:val="20"/>
                <w:szCs w:val="20"/>
                <w:lang w:val="pt-PT"/>
              </w:rPr>
              <w:t>, B</w:t>
            </w:r>
            <w:r>
              <w:rPr>
                <w:sz w:val="20"/>
                <w:szCs w:val="20"/>
                <w:lang w:val="pt-PT"/>
              </w:rPr>
              <w:t>p.</w:t>
            </w:r>
            <w:r w:rsidRPr="00543DEB">
              <w:rPr>
                <w:sz w:val="20"/>
                <w:szCs w:val="20"/>
                <w:lang w:val="pt-PT"/>
              </w:rPr>
              <w:t xml:space="preserve"> 1993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Győri Szabó Róbert: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Kisebbség, autonómia, regionalizmus</w:t>
            </w:r>
            <w:r w:rsidRPr="00543DEB">
              <w:rPr>
                <w:sz w:val="20"/>
                <w:szCs w:val="20"/>
                <w:lang w:val="pt-PT"/>
              </w:rPr>
              <w:t>, Budapest 2006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Hoppál Mihály, Istvánovits Márton (szerk):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Mítosz és történelem</w:t>
            </w:r>
            <w:r w:rsidRPr="004E0340">
              <w:rPr>
                <w:sz w:val="20"/>
                <w:szCs w:val="20"/>
                <w:lang w:val="pt-PT"/>
              </w:rPr>
              <w:t>, Budapest 1978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Horváth Zoltán:  M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agyar századforduló : a második reformnemzedék története (1896-1914)</w:t>
            </w:r>
            <w:r w:rsidRPr="00543DEB">
              <w:rPr>
                <w:sz w:val="20"/>
                <w:szCs w:val="20"/>
                <w:lang w:val="pt-PT"/>
              </w:rPr>
              <w:t>, Budapest  1974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Karácsony Sándor: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Magyarság és nevelés : tanulmányok</w:t>
            </w:r>
            <w:r w:rsidRPr="004E0340">
              <w:rPr>
                <w:sz w:val="20"/>
                <w:szCs w:val="20"/>
                <w:lang w:val="pt-PT"/>
              </w:rPr>
              <w:t>, Budapest 2003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4E0340">
              <w:rPr>
                <w:sz w:val="20"/>
                <w:szCs w:val="20"/>
                <w:lang w:val="pt-PT"/>
              </w:rPr>
              <w:t xml:space="preserve">Keresztury Dezsõ (szek): </w:t>
            </w:r>
            <w:r w:rsidRPr="004E0340">
              <w:rPr>
                <w:i/>
                <w:iCs/>
                <w:sz w:val="20"/>
                <w:szCs w:val="20"/>
                <w:lang w:val="pt-PT"/>
              </w:rPr>
              <w:t>Helyünk a világban : tanulmányok</w:t>
            </w:r>
            <w:r w:rsidRPr="004E0340">
              <w:rPr>
                <w:sz w:val="20"/>
                <w:szCs w:val="20"/>
                <w:lang w:val="pt-PT"/>
              </w:rPr>
              <w:t>, Budapest 1984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Köpeczi Béla (szerk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): Erdély története I-III</w:t>
            </w:r>
            <w:r w:rsidRPr="00543DEB">
              <w:rPr>
                <w:sz w:val="20"/>
                <w:szCs w:val="20"/>
                <w:lang w:val="pt-PT"/>
              </w:rPr>
              <w:t>, Budapest 1986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Kósa László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művelődéstörténet</w:t>
            </w:r>
            <w:r w:rsidRPr="00543DEB">
              <w:rPr>
                <w:sz w:val="20"/>
                <w:szCs w:val="20"/>
                <w:lang w:val="pt-PT"/>
              </w:rPr>
              <w:t>, Budapest 2002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Kozári Monika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: A dualista rendszer : 1867-1918</w:t>
            </w:r>
            <w:r w:rsidRPr="00543DEB">
              <w:rPr>
                <w:sz w:val="20"/>
                <w:szCs w:val="20"/>
                <w:lang w:val="pt-PT"/>
              </w:rPr>
              <w:t>, Budapest 2005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Makkai László: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- román közös múlt</w:t>
            </w:r>
            <w:r w:rsidRPr="00543DEB">
              <w:rPr>
                <w:sz w:val="20"/>
                <w:szCs w:val="20"/>
                <w:lang w:val="pt-PT"/>
              </w:rPr>
              <w:t>, Budapest 1989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Mann Miklós: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Kultúrpolitikusok a dualizmus korában</w:t>
            </w:r>
            <w:r w:rsidRPr="00543DEB">
              <w:rPr>
                <w:sz w:val="20"/>
                <w:szCs w:val="20"/>
                <w:lang w:val="pt-PT"/>
              </w:rPr>
              <w:t>, Budapest 1996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Móricz Zsigmond: </w:t>
            </w:r>
            <w:r w:rsidRPr="004E0340">
              <w:rPr>
                <w:i/>
                <w:iCs/>
                <w:sz w:val="20"/>
                <w:szCs w:val="20"/>
              </w:rPr>
              <w:t>Erdély</w:t>
            </w:r>
            <w:r w:rsidRPr="004E0340">
              <w:rPr>
                <w:sz w:val="20"/>
                <w:szCs w:val="20"/>
              </w:rPr>
              <w:t>, Bukarest ; Kolozsvár  1994-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Nemeskürty István: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Parázs a hamu alatt : Világostól Solferinóig</w:t>
            </w:r>
            <w:r w:rsidRPr="00543DEB">
              <w:rPr>
                <w:sz w:val="20"/>
                <w:szCs w:val="20"/>
                <w:lang w:val="pt-PT"/>
              </w:rPr>
              <w:t>, Budapest 1982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Pál Judit: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Városfejlődés a Székelyföldön : 1750-1914</w:t>
            </w:r>
            <w:r w:rsidRPr="00543DEB">
              <w:rPr>
                <w:sz w:val="20"/>
                <w:szCs w:val="20"/>
                <w:lang w:val="pt-PT"/>
              </w:rPr>
              <w:t>, Csíkszereda 2003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Pomogáts Béla: </w:t>
            </w:r>
            <w:r w:rsidRPr="004E0340">
              <w:rPr>
                <w:i/>
                <w:iCs/>
                <w:sz w:val="20"/>
                <w:szCs w:val="20"/>
              </w:rPr>
              <w:t>Változó Erdély : tanulmányok Erdélyrõl</w:t>
            </w:r>
            <w:r w:rsidRPr="004E0340">
              <w:rPr>
                <w:sz w:val="20"/>
                <w:szCs w:val="20"/>
              </w:rPr>
              <w:t>, Budapest  2001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Romsics Ignác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: A 20. század képes története : Magyarország története – világtörténet</w:t>
            </w:r>
            <w:r w:rsidRPr="00543DEB">
              <w:rPr>
                <w:sz w:val="20"/>
                <w:szCs w:val="20"/>
                <w:lang w:val="pt-PT"/>
              </w:rPr>
              <w:t>, Budapest 2008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Szabó Mária: </w:t>
            </w:r>
            <w:r w:rsidRPr="004E0340">
              <w:rPr>
                <w:i/>
                <w:iCs/>
                <w:sz w:val="20"/>
                <w:szCs w:val="20"/>
              </w:rPr>
              <w:t>A magyarok csillagai</w:t>
            </w:r>
            <w:r w:rsidRPr="004E0340">
              <w:rPr>
                <w:sz w:val="20"/>
                <w:szCs w:val="20"/>
              </w:rPr>
              <w:t>, Budapest  2005</w:t>
            </w:r>
          </w:p>
          <w:p w:rsidR="001858E1" w:rsidRPr="004E0340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E0340">
              <w:rPr>
                <w:sz w:val="20"/>
                <w:szCs w:val="20"/>
              </w:rPr>
              <w:t xml:space="preserve">Szentpéteri József (szek): </w:t>
            </w:r>
            <w:r w:rsidRPr="004E0340">
              <w:rPr>
                <w:i/>
                <w:iCs/>
                <w:sz w:val="20"/>
                <w:szCs w:val="20"/>
              </w:rPr>
              <w:t>Magyar kódex 1-6</w:t>
            </w:r>
            <w:r w:rsidRPr="004E0340">
              <w:rPr>
                <w:sz w:val="20"/>
                <w:szCs w:val="20"/>
              </w:rPr>
              <w:t>, Budapest 1999-2001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lastRenderedPageBreak/>
              <w:t xml:space="preserve">Szigethy Gábor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Párbeszéd a kiegyezésről</w:t>
            </w:r>
            <w:r w:rsidRPr="00543DEB">
              <w:rPr>
                <w:sz w:val="20"/>
                <w:szCs w:val="20"/>
                <w:lang w:val="pt-PT"/>
              </w:rPr>
              <w:t>, Budapest 1981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Szigeti Tóth János: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 magyar műveltség esélyei : művelődésszociológiai, történeti, népfőiskolai tanulmányok</w:t>
            </w:r>
            <w:r w:rsidRPr="00543DEB">
              <w:rPr>
                <w:sz w:val="20"/>
                <w:szCs w:val="20"/>
                <w:lang w:val="pt-PT"/>
              </w:rPr>
              <w:t>, Budapest 1993</w:t>
            </w:r>
          </w:p>
          <w:p w:rsidR="001858E1" w:rsidRPr="00543DEB" w:rsidRDefault="001858E1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Szilágyi István: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Hazánk és Európa</w:t>
            </w:r>
            <w:r w:rsidRPr="00543DEB">
              <w:rPr>
                <w:sz w:val="20"/>
                <w:szCs w:val="20"/>
                <w:lang w:val="pt-PT"/>
              </w:rPr>
              <w:t>, Veszprém 1996</w:t>
            </w:r>
          </w:p>
          <w:p w:rsidR="001858E1" w:rsidRPr="002E46DC" w:rsidRDefault="001858E1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11"/>
                <w:szCs w:val="11"/>
              </w:rPr>
            </w:pPr>
            <w:r w:rsidRPr="004E0340">
              <w:rPr>
                <w:sz w:val="20"/>
                <w:szCs w:val="20"/>
              </w:rPr>
              <w:t xml:space="preserve">Vofkori László: </w:t>
            </w:r>
            <w:r w:rsidRPr="004E0340">
              <w:rPr>
                <w:i/>
                <w:iCs/>
                <w:sz w:val="20"/>
                <w:szCs w:val="20"/>
              </w:rPr>
              <w:t>Utazások Székelyföldön</w:t>
            </w:r>
            <w:r w:rsidRPr="004E0340">
              <w:rPr>
                <w:sz w:val="20"/>
                <w:szCs w:val="20"/>
              </w:rPr>
              <w:t>, Csíkszereda 2004</w:t>
            </w:r>
          </w:p>
        </w:tc>
      </w:tr>
      <w:tr w:rsidR="001858E1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1858E1" w:rsidRPr="00D00FBE" w:rsidRDefault="001858E1" w:rsidP="00B0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8.2. Seminar </w:t>
            </w:r>
          </w:p>
        </w:tc>
        <w:tc>
          <w:tcPr>
            <w:tcW w:w="3330" w:type="dxa"/>
            <w:shd w:val="clear" w:color="auto" w:fill="FFFFFF" w:themeFill="background1"/>
          </w:tcPr>
          <w:p w:rsidR="001858E1" w:rsidRPr="00D00FBE" w:rsidRDefault="001858E1" w:rsidP="00BF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1858E1" w:rsidRPr="00D00FBE" w:rsidRDefault="001858E1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1858E1" w:rsidRPr="00D00FBE" w:rsidTr="00343A34">
        <w:tc>
          <w:tcPr>
            <w:tcW w:w="5508" w:type="dxa"/>
            <w:shd w:val="clear" w:color="auto" w:fill="auto"/>
          </w:tcPr>
          <w:p w:rsidR="001858E1" w:rsidRPr="00D00FBE" w:rsidRDefault="001858E1" w:rsidP="00725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858E1" w:rsidRPr="00D00FBE" w:rsidRDefault="001858E1" w:rsidP="0072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858E1" w:rsidRPr="00D00FBE" w:rsidRDefault="001858E1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1" w:rsidRPr="00D00FBE" w:rsidTr="00343A34">
        <w:tc>
          <w:tcPr>
            <w:tcW w:w="10682" w:type="dxa"/>
            <w:gridSpan w:val="3"/>
            <w:shd w:val="clear" w:color="auto" w:fill="auto"/>
          </w:tcPr>
          <w:p w:rsidR="001858E1" w:rsidRPr="00D00FBE" w:rsidRDefault="001858E1" w:rsidP="008B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grafi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1858E1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1858E1" w:rsidRPr="008B3371" w:rsidRDefault="001858E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aborator</w:t>
            </w:r>
          </w:p>
        </w:tc>
        <w:tc>
          <w:tcPr>
            <w:tcW w:w="3330" w:type="dxa"/>
            <w:shd w:val="clear" w:color="auto" w:fill="FFFFFF" w:themeFill="background1"/>
          </w:tcPr>
          <w:p w:rsidR="001858E1" w:rsidRPr="008B3371" w:rsidRDefault="001858E1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1858E1" w:rsidRPr="008B3371" w:rsidRDefault="001858E1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1858E1" w:rsidRPr="00D00FBE" w:rsidTr="00343A34">
        <w:tc>
          <w:tcPr>
            <w:tcW w:w="5508" w:type="dxa"/>
            <w:shd w:val="clear" w:color="auto" w:fill="auto"/>
          </w:tcPr>
          <w:p w:rsidR="001858E1" w:rsidRPr="00D00FBE" w:rsidRDefault="001858E1" w:rsidP="00726B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1858E1" w:rsidRPr="00D00FBE" w:rsidRDefault="001858E1" w:rsidP="00726B6A">
            <w:pPr>
              <w:spacing w:after="0"/>
              <w:jc w:val="center"/>
            </w:pPr>
          </w:p>
        </w:tc>
        <w:tc>
          <w:tcPr>
            <w:tcW w:w="1844" w:type="dxa"/>
          </w:tcPr>
          <w:p w:rsidR="001858E1" w:rsidRPr="00D00FBE" w:rsidRDefault="001858E1" w:rsidP="00E63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1" w:rsidRPr="00D00FBE" w:rsidTr="00343A3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E1" w:rsidRPr="00D00FBE" w:rsidRDefault="001858E1" w:rsidP="001C6FB6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  <w:tr w:rsidR="001858E1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1858E1" w:rsidRPr="008B3371" w:rsidRDefault="001858E1" w:rsidP="001C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 xml:space="preserve">8.4.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roiect</w:t>
            </w:r>
          </w:p>
        </w:tc>
        <w:tc>
          <w:tcPr>
            <w:tcW w:w="3330" w:type="dxa"/>
            <w:shd w:val="clear" w:color="auto" w:fill="FFFFFF" w:themeFill="background1"/>
          </w:tcPr>
          <w:p w:rsidR="001858E1" w:rsidRPr="008B3371" w:rsidRDefault="001858E1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1858E1" w:rsidRPr="008B3371" w:rsidRDefault="001858E1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1858E1" w:rsidRPr="00D00FBE" w:rsidTr="00343A3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E1" w:rsidRPr="00D00FBE" w:rsidRDefault="001858E1" w:rsidP="008D1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858E1" w:rsidRPr="00D00FBE" w:rsidRDefault="001858E1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1" w:rsidRPr="00D00FBE" w:rsidRDefault="001858E1" w:rsidP="008D1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1" w:rsidRPr="00D00FBE" w:rsidTr="00343A3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E1" w:rsidRPr="00D00FBE" w:rsidRDefault="001858E1" w:rsidP="008D1BF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  <w:tr w:rsidR="001858E1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1858E1" w:rsidRPr="008B3371" w:rsidRDefault="001858E1" w:rsidP="003B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actica</w:t>
            </w:r>
          </w:p>
        </w:tc>
        <w:tc>
          <w:tcPr>
            <w:tcW w:w="3330" w:type="dxa"/>
            <w:shd w:val="clear" w:color="auto" w:fill="FFFFFF" w:themeFill="background1"/>
          </w:tcPr>
          <w:p w:rsidR="001858E1" w:rsidRPr="008B3371" w:rsidRDefault="001858E1" w:rsidP="005A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1858E1" w:rsidRPr="008B3371" w:rsidRDefault="001858E1" w:rsidP="005A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1858E1" w:rsidRPr="00D00FBE" w:rsidTr="005A62ED">
        <w:tc>
          <w:tcPr>
            <w:tcW w:w="5508" w:type="dxa"/>
            <w:shd w:val="clear" w:color="auto" w:fill="auto"/>
          </w:tcPr>
          <w:p w:rsidR="001858E1" w:rsidRPr="00D00FBE" w:rsidRDefault="001858E1" w:rsidP="005A62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1858E1" w:rsidRPr="00D00FBE" w:rsidRDefault="001858E1" w:rsidP="005A62ED">
            <w:pPr>
              <w:spacing w:after="0"/>
              <w:jc w:val="center"/>
            </w:pPr>
          </w:p>
        </w:tc>
        <w:tc>
          <w:tcPr>
            <w:tcW w:w="1844" w:type="dxa"/>
          </w:tcPr>
          <w:p w:rsidR="001858E1" w:rsidRPr="00D00FBE" w:rsidRDefault="001858E1" w:rsidP="005A6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1" w:rsidRPr="00D00FBE" w:rsidTr="005A62ED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8E1" w:rsidRPr="00D00FBE" w:rsidRDefault="001858E1" w:rsidP="005A62E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</w:tbl>
    <w:p w:rsidR="00744DDD" w:rsidRPr="00D00FBE" w:rsidRDefault="00744DD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4DDD" w:rsidRPr="00D00FBE" w:rsidRDefault="00744DD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8027E9" w:rsidRPr="00D00FBE" w:rsidTr="00450A21">
        <w:tc>
          <w:tcPr>
            <w:tcW w:w="10682" w:type="dxa"/>
          </w:tcPr>
          <w:p w:rsidR="006F1AC4" w:rsidRPr="00D00FBE" w:rsidRDefault="002E46DC" w:rsidP="006F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Istoria cultiurii  </w:t>
            </w:r>
            <w:r w:rsidRPr="00710451">
              <w:rPr>
                <w:rFonts w:ascii="Times New Roman" w:hAnsi="Times New Roman"/>
              </w:rPr>
              <w:t xml:space="preserve">ca disciplină complexă </w:t>
            </w:r>
            <w:r w:rsidRPr="00710451">
              <w:rPr>
                <w:rFonts w:ascii="Times New Roman" w:hAnsi="Times New Roman"/>
                <w:sz w:val="24"/>
                <w:szCs w:val="24"/>
              </w:rPr>
              <w:t>are ca obiectiv dezvoltarea competenţelor şi deprinderilor de bază</w:t>
            </w:r>
          </w:p>
        </w:tc>
      </w:tr>
    </w:tbl>
    <w:p w:rsidR="00D00FBE" w:rsidRDefault="00D00FBE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10. Evaluare</w:t>
      </w:r>
    </w:p>
    <w:p w:rsidR="001C6FB6" w:rsidRDefault="008B337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="001C6FB6">
        <w:rPr>
          <w:rFonts w:ascii="Times New Roman" w:hAnsi="Times New Roman"/>
          <w:b/>
          <w:sz w:val="24"/>
          <w:szCs w:val="24"/>
        </w:rPr>
        <w:t>Condiții de îndeplinit pentru prezentarea la evaluare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C6FB6" w:rsidRPr="002E46DC" w:rsidRDefault="002E46DC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Înscriere la curs la începutul semestrului, înscriere la unul din datele comunicate pentru evaluare</w:t>
      </w:r>
    </w:p>
    <w:p w:rsidR="009D47A8" w:rsidRDefault="009D47A8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7A8" w:rsidRDefault="009D47A8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FB6" w:rsidRPr="00D00FBE" w:rsidRDefault="001C6FB6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Criterii, metode și ponderi în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752"/>
        <w:gridCol w:w="2658"/>
        <w:gridCol w:w="2790"/>
        <w:gridCol w:w="2564"/>
      </w:tblGrid>
      <w:tr w:rsidR="008027E9" w:rsidRPr="00D00FBE" w:rsidTr="0098490E">
        <w:tc>
          <w:tcPr>
            <w:tcW w:w="2670" w:type="dxa"/>
            <w:gridSpan w:val="2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658" w:type="dxa"/>
            <w:shd w:val="clear" w:color="auto" w:fill="auto"/>
          </w:tcPr>
          <w:p w:rsidR="008027E9" w:rsidRPr="00D00FBE" w:rsidRDefault="008027E9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Criterii de evaluare</w:t>
            </w:r>
          </w:p>
        </w:tc>
        <w:tc>
          <w:tcPr>
            <w:tcW w:w="2790" w:type="dxa"/>
          </w:tcPr>
          <w:p w:rsidR="008027E9" w:rsidRPr="00D00FBE" w:rsidRDefault="008027E9" w:rsidP="00AB4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356" w:rsidRPr="00D00FBE">
              <w:rPr>
                <w:rFonts w:ascii="Times New Roman" w:hAnsi="Times New Roman"/>
                <w:sz w:val="24"/>
                <w:szCs w:val="24"/>
              </w:rPr>
              <w:t>M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564" w:type="dxa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10.3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Pondere din nota finală</w:t>
            </w:r>
          </w:p>
        </w:tc>
      </w:tr>
      <w:tr w:rsidR="002E46DC" w:rsidRPr="00D00FBE" w:rsidTr="00CD302E">
        <w:trPr>
          <w:trHeight w:val="562"/>
        </w:trPr>
        <w:tc>
          <w:tcPr>
            <w:tcW w:w="2670" w:type="dxa"/>
            <w:gridSpan w:val="2"/>
          </w:tcPr>
          <w:p w:rsidR="002E46DC" w:rsidRPr="00D00FBE" w:rsidRDefault="002E46DC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10.4. Curs</w:t>
            </w:r>
          </w:p>
        </w:tc>
        <w:tc>
          <w:tcPr>
            <w:tcW w:w="2658" w:type="dxa"/>
            <w:shd w:val="clear" w:color="auto" w:fill="auto"/>
          </w:tcPr>
          <w:p w:rsidR="002E46DC" w:rsidRPr="00D00FBE" w:rsidRDefault="002E46DC" w:rsidP="00EB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Cunoștințe de bază și aplicarea acestora</w:t>
            </w:r>
          </w:p>
        </w:tc>
        <w:tc>
          <w:tcPr>
            <w:tcW w:w="2790" w:type="dxa"/>
          </w:tcPr>
          <w:p w:rsidR="002E46DC" w:rsidRPr="00D00FBE" w:rsidRDefault="002E46DC" w:rsidP="00EB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collocviu</w:t>
            </w:r>
          </w:p>
        </w:tc>
        <w:tc>
          <w:tcPr>
            <w:tcW w:w="2564" w:type="dxa"/>
          </w:tcPr>
          <w:p w:rsidR="002E46DC" w:rsidRPr="00D00FBE" w:rsidRDefault="002E46DC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8490E" w:rsidRPr="00D00FBE" w:rsidTr="0098490E">
        <w:trPr>
          <w:trHeight w:val="135"/>
        </w:trPr>
        <w:tc>
          <w:tcPr>
            <w:tcW w:w="918" w:type="dxa"/>
            <w:vMerge w:val="restart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10.5 .</w:t>
            </w:r>
          </w:p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1B395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E" w:rsidRPr="00D00FBE" w:rsidTr="0098490E">
        <w:trPr>
          <w:trHeight w:val="245"/>
        </w:trPr>
        <w:tc>
          <w:tcPr>
            <w:tcW w:w="918" w:type="dxa"/>
            <w:vMerge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F2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16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E" w:rsidRPr="00D00FBE" w:rsidTr="0098490E">
        <w:trPr>
          <w:trHeight w:val="245"/>
        </w:trPr>
        <w:tc>
          <w:tcPr>
            <w:tcW w:w="918" w:type="dxa"/>
            <w:vMerge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F2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16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CA" w:rsidRPr="00D00FBE" w:rsidTr="00450A21">
        <w:tc>
          <w:tcPr>
            <w:tcW w:w="10682" w:type="dxa"/>
            <w:gridSpan w:val="5"/>
          </w:tcPr>
          <w:p w:rsidR="00F272CA" w:rsidRPr="00D00FBE" w:rsidRDefault="00F272CA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10.6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Standard minim de performanţă</w:t>
            </w:r>
          </w:p>
        </w:tc>
      </w:tr>
      <w:tr w:rsidR="00F272CA" w:rsidRPr="00D00FBE" w:rsidTr="00450A21">
        <w:tc>
          <w:tcPr>
            <w:tcW w:w="10682" w:type="dxa"/>
            <w:gridSpan w:val="5"/>
          </w:tcPr>
          <w:p w:rsidR="009D47A8" w:rsidRPr="00D00FBE" w:rsidRDefault="002E46DC" w:rsidP="00D00F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Nota primit la collocviu trebuie să fie minim 5</w:t>
            </w:r>
          </w:p>
        </w:tc>
      </w:tr>
    </w:tbl>
    <w:p w:rsidR="008027E9" w:rsidRPr="00D00FBE" w:rsidRDefault="008027E9" w:rsidP="003E7F77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FA037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Data completării</w:t>
      </w:r>
      <w:r w:rsidRPr="00D00FBE">
        <w:rPr>
          <w:rFonts w:ascii="Times New Roman" w:hAnsi="Times New Roman"/>
          <w:sz w:val="24"/>
          <w:szCs w:val="24"/>
        </w:rPr>
        <w:tab/>
      </w:r>
      <w:r w:rsidR="00BF122D" w:rsidRPr="00D00FBE">
        <w:rPr>
          <w:rFonts w:ascii="Times New Roman" w:hAnsi="Times New Roman"/>
          <w:sz w:val="24"/>
          <w:szCs w:val="24"/>
        </w:rPr>
        <w:t xml:space="preserve">     </w:t>
      </w:r>
      <w:r w:rsidRPr="00D00FBE">
        <w:rPr>
          <w:rFonts w:ascii="Times New Roman" w:hAnsi="Times New Roman"/>
          <w:sz w:val="24"/>
          <w:szCs w:val="24"/>
        </w:rPr>
        <w:t xml:space="preserve">Semnătura titularului </w:t>
      </w:r>
      <w:r w:rsidR="00757AC5">
        <w:rPr>
          <w:rFonts w:ascii="Times New Roman" w:hAnsi="Times New Roman"/>
          <w:sz w:val="24"/>
          <w:szCs w:val="24"/>
        </w:rPr>
        <w:t>disciplinei</w:t>
      </w:r>
      <w:r w:rsidRPr="00D00FBE">
        <w:rPr>
          <w:rFonts w:ascii="Times New Roman" w:hAnsi="Times New Roman"/>
          <w:sz w:val="24"/>
          <w:szCs w:val="24"/>
        </w:rPr>
        <w:tab/>
      </w:r>
      <w:r w:rsidR="00BF122D" w:rsidRPr="00D00FBE">
        <w:rPr>
          <w:rFonts w:ascii="Times New Roman" w:hAnsi="Times New Roman"/>
          <w:sz w:val="24"/>
          <w:szCs w:val="24"/>
        </w:rPr>
        <w:t xml:space="preserve">    </w:t>
      </w:r>
      <w:r w:rsidRPr="00D00FBE">
        <w:rPr>
          <w:rFonts w:ascii="Times New Roman" w:hAnsi="Times New Roman"/>
          <w:sz w:val="24"/>
          <w:szCs w:val="24"/>
        </w:rPr>
        <w:t>Semnătura titularului</w:t>
      </w:r>
      <w:r w:rsidR="00E639E9">
        <w:rPr>
          <w:rFonts w:ascii="Times New Roman" w:hAnsi="Times New Roman"/>
          <w:sz w:val="24"/>
          <w:szCs w:val="24"/>
        </w:rPr>
        <w:t>/rilor</w:t>
      </w:r>
      <w:r w:rsidRPr="00D00FBE">
        <w:rPr>
          <w:rFonts w:ascii="Times New Roman" w:hAnsi="Times New Roman"/>
          <w:sz w:val="24"/>
          <w:szCs w:val="24"/>
        </w:rPr>
        <w:t xml:space="preserve"> de </w:t>
      </w:r>
      <w:r w:rsidR="00BF122D" w:rsidRPr="00D00FBE">
        <w:rPr>
          <w:rFonts w:ascii="Times New Roman" w:hAnsi="Times New Roman"/>
          <w:sz w:val="24"/>
          <w:szCs w:val="24"/>
        </w:rPr>
        <w:t>aplicații</w:t>
      </w:r>
    </w:p>
    <w:p w:rsidR="008027E9" w:rsidRPr="00D00FBE" w:rsidRDefault="008940D5" w:rsidP="00E639E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840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84000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8B3371">
        <w:rPr>
          <w:rFonts w:ascii="Times New Roman" w:hAnsi="Times New Roman"/>
          <w:sz w:val="24"/>
          <w:szCs w:val="24"/>
        </w:rPr>
        <w:tab/>
      </w:r>
      <w:r w:rsidR="008B3371">
        <w:rPr>
          <w:rFonts w:ascii="Times New Roman" w:hAnsi="Times New Roman"/>
          <w:sz w:val="24"/>
          <w:szCs w:val="24"/>
        </w:rPr>
        <w:tab/>
      </w:r>
      <w:r w:rsidR="00E639E9">
        <w:rPr>
          <w:rFonts w:ascii="Times New Roman" w:hAnsi="Times New Roman"/>
          <w:sz w:val="24"/>
          <w:szCs w:val="24"/>
        </w:rPr>
        <w:t xml:space="preserve">           </w:t>
      </w:r>
      <w:r w:rsidR="00E639E9" w:rsidRPr="00D00FBE">
        <w:rPr>
          <w:rFonts w:ascii="Times New Roman" w:hAnsi="Times New Roman"/>
          <w:sz w:val="24"/>
          <w:szCs w:val="24"/>
        </w:rPr>
        <w:t>..................................</w:t>
      </w:r>
      <w:r w:rsidR="00A868C1">
        <w:rPr>
          <w:rFonts w:ascii="Times New Roman" w:hAnsi="Times New Roman"/>
          <w:sz w:val="24"/>
          <w:szCs w:val="24"/>
        </w:rPr>
        <w:t xml:space="preserve">           </w:t>
      </w:r>
      <w:r w:rsidR="00A868C1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8027E9" w:rsidRPr="00D00FBE">
        <w:rPr>
          <w:rFonts w:ascii="Times New Roman" w:hAnsi="Times New Roman"/>
          <w:sz w:val="24"/>
          <w:szCs w:val="24"/>
        </w:rPr>
        <w:tab/>
      </w:r>
      <w:r w:rsidR="008027E9" w:rsidRPr="00D00FBE">
        <w:rPr>
          <w:rFonts w:ascii="Times New Roman" w:hAnsi="Times New Roman"/>
          <w:sz w:val="24"/>
          <w:szCs w:val="24"/>
        </w:rPr>
        <w:tab/>
      </w:r>
      <w:r w:rsidR="00A868C1">
        <w:rPr>
          <w:rFonts w:ascii="Times New Roman" w:hAnsi="Times New Roman"/>
          <w:sz w:val="24"/>
          <w:szCs w:val="24"/>
        </w:rPr>
        <w:t xml:space="preserve">       </w:t>
      </w:r>
      <w:r w:rsidR="008027E9" w:rsidRPr="00D00FBE">
        <w:rPr>
          <w:rFonts w:ascii="Times New Roman" w:hAnsi="Times New Roman"/>
          <w:sz w:val="24"/>
          <w:szCs w:val="24"/>
        </w:rPr>
        <w:t>...................................</w:t>
      </w:r>
    </w:p>
    <w:p w:rsidR="008027E9" w:rsidRPr="00D00FBE" w:rsidRDefault="008027E9" w:rsidP="003E7F77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FA037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Data avizării în departament</w:t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  <w:t xml:space="preserve">          </w:t>
      </w:r>
      <w:r w:rsidR="000A4AAC">
        <w:rPr>
          <w:rFonts w:ascii="Times New Roman" w:hAnsi="Times New Roman"/>
          <w:sz w:val="24"/>
          <w:szCs w:val="24"/>
        </w:rPr>
        <w:t xml:space="preserve">    </w:t>
      </w:r>
      <w:r w:rsidRPr="00D00FBE">
        <w:rPr>
          <w:rFonts w:ascii="Times New Roman" w:hAnsi="Times New Roman"/>
          <w:sz w:val="24"/>
          <w:szCs w:val="24"/>
        </w:rPr>
        <w:t xml:space="preserve"> Semnătura directorului de departament</w:t>
      </w:r>
      <w:r w:rsidRPr="00D00FBE">
        <w:rPr>
          <w:rFonts w:ascii="Times New Roman" w:hAnsi="Times New Roman"/>
          <w:sz w:val="24"/>
          <w:szCs w:val="24"/>
        </w:rPr>
        <w:tab/>
      </w:r>
    </w:p>
    <w:p w:rsidR="003B52C1" w:rsidRPr="0076691A" w:rsidRDefault="008027E9" w:rsidP="0076691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...........................................</w:t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  <w:t>…............................</w:t>
      </w:r>
      <w:r w:rsidRPr="00D00FBE">
        <w:rPr>
          <w:rFonts w:ascii="Times New Roman" w:hAnsi="Times New Roman"/>
          <w:sz w:val="24"/>
          <w:szCs w:val="24"/>
        </w:rPr>
        <w:tab/>
      </w:r>
    </w:p>
    <w:sectPr w:rsidR="003B52C1" w:rsidRPr="0076691A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D4" w:rsidRDefault="004A50D4" w:rsidP="00666848">
      <w:pPr>
        <w:spacing w:after="0" w:line="240" w:lineRule="auto"/>
      </w:pPr>
      <w:r>
        <w:separator/>
      </w:r>
    </w:p>
  </w:endnote>
  <w:endnote w:type="continuationSeparator" w:id="0">
    <w:p w:rsidR="004A50D4" w:rsidRDefault="004A50D4" w:rsidP="0066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D4" w:rsidRDefault="004A50D4" w:rsidP="00666848">
      <w:pPr>
        <w:spacing w:after="0" w:line="240" w:lineRule="auto"/>
      </w:pPr>
      <w:r>
        <w:separator/>
      </w:r>
    </w:p>
  </w:footnote>
  <w:footnote w:type="continuationSeparator" w:id="0">
    <w:p w:rsidR="004A50D4" w:rsidRDefault="004A50D4" w:rsidP="0066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C3D68"/>
    <w:multiLevelType w:val="hybridMultilevel"/>
    <w:tmpl w:val="DB4EE574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19A1"/>
    <w:multiLevelType w:val="hybridMultilevel"/>
    <w:tmpl w:val="C85E7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9521EC"/>
    <w:multiLevelType w:val="hybridMultilevel"/>
    <w:tmpl w:val="3B42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B80"/>
    <w:multiLevelType w:val="hybridMultilevel"/>
    <w:tmpl w:val="AD064B4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7C25"/>
    <w:multiLevelType w:val="hybridMultilevel"/>
    <w:tmpl w:val="EB7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F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76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1A5BE0"/>
    <w:multiLevelType w:val="hybridMultilevel"/>
    <w:tmpl w:val="B25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6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77"/>
    <w:rsid w:val="00016B57"/>
    <w:rsid w:val="00050AF5"/>
    <w:rsid w:val="00053690"/>
    <w:rsid w:val="00064D9C"/>
    <w:rsid w:val="0007194F"/>
    <w:rsid w:val="00073FD0"/>
    <w:rsid w:val="00074325"/>
    <w:rsid w:val="000A4AAC"/>
    <w:rsid w:val="000C58EB"/>
    <w:rsid w:val="000F0BAC"/>
    <w:rsid w:val="00104676"/>
    <w:rsid w:val="00123823"/>
    <w:rsid w:val="00130AD9"/>
    <w:rsid w:val="001627E0"/>
    <w:rsid w:val="00165757"/>
    <w:rsid w:val="001702AE"/>
    <w:rsid w:val="001858E1"/>
    <w:rsid w:val="00197C66"/>
    <w:rsid w:val="001B2BA8"/>
    <w:rsid w:val="001B395E"/>
    <w:rsid w:val="001C6FB6"/>
    <w:rsid w:val="001D0B30"/>
    <w:rsid w:val="001E4C42"/>
    <w:rsid w:val="002001FD"/>
    <w:rsid w:val="0020056E"/>
    <w:rsid w:val="002047E0"/>
    <w:rsid w:val="002108A5"/>
    <w:rsid w:val="00236919"/>
    <w:rsid w:val="00237E01"/>
    <w:rsid w:val="00252DB4"/>
    <w:rsid w:val="002553C2"/>
    <w:rsid w:val="002646AF"/>
    <w:rsid w:val="0027455B"/>
    <w:rsid w:val="002812A5"/>
    <w:rsid w:val="00284E8B"/>
    <w:rsid w:val="00291777"/>
    <w:rsid w:val="002B270C"/>
    <w:rsid w:val="002C1636"/>
    <w:rsid w:val="002D71AD"/>
    <w:rsid w:val="002E46DC"/>
    <w:rsid w:val="003163BF"/>
    <w:rsid w:val="00324BC1"/>
    <w:rsid w:val="003274D2"/>
    <w:rsid w:val="0034390B"/>
    <w:rsid w:val="00343A34"/>
    <w:rsid w:val="00343DED"/>
    <w:rsid w:val="00356390"/>
    <w:rsid w:val="00371DED"/>
    <w:rsid w:val="003806E1"/>
    <w:rsid w:val="00382FF1"/>
    <w:rsid w:val="003A06B5"/>
    <w:rsid w:val="003B52C1"/>
    <w:rsid w:val="003B5A02"/>
    <w:rsid w:val="003B647E"/>
    <w:rsid w:val="003C00B0"/>
    <w:rsid w:val="003E7F77"/>
    <w:rsid w:val="0040409F"/>
    <w:rsid w:val="00404B0A"/>
    <w:rsid w:val="00415255"/>
    <w:rsid w:val="00426271"/>
    <w:rsid w:val="0043104B"/>
    <w:rsid w:val="00450A21"/>
    <w:rsid w:val="00457FAE"/>
    <w:rsid w:val="00470F45"/>
    <w:rsid w:val="0047391D"/>
    <w:rsid w:val="00491A85"/>
    <w:rsid w:val="004966FF"/>
    <w:rsid w:val="004A2A7C"/>
    <w:rsid w:val="004A4DB1"/>
    <w:rsid w:val="004A50D4"/>
    <w:rsid w:val="004C5DFC"/>
    <w:rsid w:val="004F4D97"/>
    <w:rsid w:val="005078CB"/>
    <w:rsid w:val="005526F3"/>
    <w:rsid w:val="0055535D"/>
    <w:rsid w:val="00556C56"/>
    <w:rsid w:val="0057116F"/>
    <w:rsid w:val="00571AAF"/>
    <w:rsid w:val="005A12E1"/>
    <w:rsid w:val="005A62ED"/>
    <w:rsid w:val="00602EBC"/>
    <w:rsid w:val="00614BDA"/>
    <w:rsid w:val="0062313E"/>
    <w:rsid w:val="00666848"/>
    <w:rsid w:val="00696A5C"/>
    <w:rsid w:val="006D061F"/>
    <w:rsid w:val="006F1AC4"/>
    <w:rsid w:val="006F3861"/>
    <w:rsid w:val="006F68E0"/>
    <w:rsid w:val="007007AD"/>
    <w:rsid w:val="007016C9"/>
    <w:rsid w:val="00725B23"/>
    <w:rsid w:val="00726B6A"/>
    <w:rsid w:val="007449F1"/>
    <w:rsid w:val="00744DDD"/>
    <w:rsid w:val="00754C21"/>
    <w:rsid w:val="00757AC5"/>
    <w:rsid w:val="00757C43"/>
    <w:rsid w:val="00761633"/>
    <w:rsid w:val="0076691A"/>
    <w:rsid w:val="00774235"/>
    <w:rsid w:val="007E5DD7"/>
    <w:rsid w:val="007E77AD"/>
    <w:rsid w:val="008027E9"/>
    <w:rsid w:val="00816C94"/>
    <w:rsid w:val="00827CAD"/>
    <w:rsid w:val="0083153A"/>
    <w:rsid w:val="00840007"/>
    <w:rsid w:val="008501BB"/>
    <w:rsid w:val="0085527B"/>
    <w:rsid w:val="00856A5A"/>
    <w:rsid w:val="008712DB"/>
    <w:rsid w:val="008940D5"/>
    <w:rsid w:val="00897094"/>
    <w:rsid w:val="00897E4F"/>
    <w:rsid w:val="008B1D67"/>
    <w:rsid w:val="008B3371"/>
    <w:rsid w:val="008C07C5"/>
    <w:rsid w:val="008C7428"/>
    <w:rsid w:val="008D1BFE"/>
    <w:rsid w:val="008F2211"/>
    <w:rsid w:val="009432F9"/>
    <w:rsid w:val="009565F8"/>
    <w:rsid w:val="00960D41"/>
    <w:rsid w:val="0098490E"/>
    <w:rsid w:val="00996D82"/>
    <w:rsid w:val="009A5A41"/>
    <w:rsid w:val="009C5F37"/>
    <w:rsid w:val="009C7D6C"/>
    <w:rsid w:val="009D47A8"/>
    <w:rsid w:val="009D4FD8"/>
    <w:rsid w:val="00A26881"/>
    <w:rsid w:val="00A352F6"/>
    <w:rsid w:val="00A5014E"/>
    <w:rsid w:val="00A54E4F"/>
    <w:rsid w:val="00A61861"/>
    <w:rsid w:val="00A637BC"/>
    <w:rsid w:val="00A868C1"/>
    <w:rsid w:val="00AB0165"/>
    <w:rsid w:val="00AB18CF"/>
    <w:rsid w:val="00AB4356"/>
    <w:rsid w:val="00AC33D3"/>
    <w:rsid w:val="00AD2F32"/>
    <w:rsid w:val="00AE2271"/>
    <w:rsid w:val="00AF0D19"/>
    <w:rsid w:val="00B04A28"/>
    <w:rsid w:val="00B07561"/>
    <w:rsid w:val="00B17CC8"/>
    <w:rsid w:val="00B236DC"/>
    <w:rsid w:val="00B24B83"/>
    <w:rsid w:val="00B302B1"/>
    <w:rsid w:val="00B32698"/>
    <w:rsid w:val="00B7109F"/>
    <w:rsid w:val="00B868E1"/>
    <w:rsid w:val="00B906F8"/>
    <w:rsid w:val="00B96DA8"/>
    <w:rsid w:val="00BB303C"/>
    <w:rsid w:val="00BE5F89"/>
    <w:rsid w:val="00BF122D"/>
    <w:rsid w:val="00BF1283"/>
    <w:rsid w:val="00C04F17"/>
    <w:rsid w:val="00C1183D"/>
    <w:rsid w:val="00C22E24"/>
    <w:rsid w:val="00C332A4"/>
    <w:rsid w:val="00C44284"/>
    <w:rsid w:val="00C47442"/>
    <w:rsid w:val="00C816A2"/>
    <w:rsid w:val="00C81CC3"/>
    <w:rsid w:val="00CE71E1"/>
    <w:rsid w:val="00D00FBE"/>
    <w:rsid w:val="00D03CF6"/>
    <w:rsid w:val="00D22AFB"/>
    <w:rsid w:val="00D24033"/>
    <w:rsid w:val="00DA2172"/>
    <w:rsid w:val="00DC598C"/>
    <w:rsid w:val="00DD2B25"/>
    <w:rsid w:val="00DD3C3A"/>
    <w:rsid w:val="00DF19AA"/>
    <w:rsid w:val="00E037F6"/>
    <w:rsid w:val="00E31B78"/>
    <w:rsid w:val="00E3215E"/>
    <w:rsid w:val="00E34F81"/>
    <w:rsid w:val="00E458DA"/>
    <w:rsid w:val="00E630F9"/>
    <w:rsid w:val="00E639E9"/>
    <w:rsid w:val="00E66CF5"/>
    <w:rsid w:val="00E86576"/>
    <w:rsid w:val="00EA76B3"/>
    <w:rsid w:val="00EB1368"/>
    <w:rsid w:val="00EB4A69"/>
    <w:rsid w:val="00ED7092"/>
    <w:rsid w:val="00EF5AEB"/>
    <w:rsid w:val="00F15C49"/>
    <w:rsid w:val="00F272CA"/>
    <w:rsid w:val="00F435F2"/>
    <w:rsid w:val="00F46278"/>
    <w:rsid w:val="00F72804"/>
    <w:rsid w:val="00F74438"/>
    <w:rsid w:val="00F85673"/>
    <w:rsid w:val="00FA037A"/>
    <w:rsid w:val="00FC21F6"/>
    <w:rsid w:val="00FE6839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11D89E-CA64-4608-BB54-FFA5EDF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F5AEB"/>
    <w:pPr>
      <w:keepNext/>
      <w:spacing w:after="0" w:line="240" w:lineRule="auto"/>
      <w:outlineLvl w:val="3"/>
    </w:pPr>
    <w:rPr>
      <w:rFonts w:ascii="Times New Roman" w:eastAsia="Times New Roman" w:hAnsi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paragraph" w:styleId="BodyText">
    <w:name w:val="Body Text"/>
    <w:basedOn w:val="Normal"/>
    <w:link w:val="BodyTextChar"/>
    <w:rsid w:val="0062313E"/>
    <w:pPr>
      <w:spacing w:after="0" w:line="240" w:lineRule="auto"/>
    </w:pPr>
    <w:rPr>
      <w:rFonts w:ascii="Verdana" w:eastAsia="Times New Roman" w:hAnsi="Verdana"/>
      <w:sz w:val="24"/>
      <w:szCs w:val="20"/>
      <w:lang w:val="en-US"/>
    </w:rPr>
  </w:style>
  <w:style w:type="character" w:customStyle="1" w:styleId="BodyTextChar">
    <w:name w:val="Body Text Char"/>
    <w:link w:val="BodyText"/>
    <w:semiHidden/>
    <w:rsid w:val="0062313E"/>
    <w:rPr>
      <w:rFonts w:ascii="Verdana" w:eastAsia="Times New Roman" w:hAnsi="Verdana"/>
      <w:sz w:val="24"/>
    </w:rPr>
  </w:style>
  <w:style w:type="character" w:customStyle="1" w:styleId="Heading4Char">
    <w:name w:val="Heading 4 Char"/>
    <w:link w:val="Heading4"/>
    <w:rsid w:val="00EF5AEB"/>
    <w:rPr>
      <w:rFonts w:ascii="Times New Roman" w:eastAsia="Times New Roman" w:hAnsi="Times New Roman"/>
      <w:b/>
      <w:sz w:val="22"/>
      <w:lang w:val="ro-RO" w:eastAsia="zh-CN"/>
    </w:rPr>
  </w:style>
  <w:style w:type="character" w:styleId="Hyperlink">
    <w:name w:val="Hyperlink"/>
    <w:uiPriority w:val="99"/>
    <w:unhideWhenUsed/>
    <w:rsid w:val="007E5D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68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8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668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6848"/>
    <w:rPr>
      <w:sz w:val="22"/>
      <w:szCs w:val="22"/>
      <w:lang w:val="ro-RO"/>
    </w:rPr>
  </w:style>
  <w:style w:type="paragraph" w:customStyle="1" w:styleId="Default">
    <w:name w:val="Default"/>
    <w:rsid w:val="003B5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1388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TANTÁRGY ADATLAPJA</vt:lpstr>
      <vt:lpstr>A TANTÁRGY ADATLAPJA</vt:lpstr>
    </vt:vector>
  </TitlesOfParts>
  <Company>Hewlett-Packard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creator>Robu</dc:creator>
  <cp:lastModifiedBy>User2</cp:lastModifiedBy>
  <cp:revision>10</cp:revision>
  <cp:lastPrinted>2014-02-11T09:23:00Z</cp:lastPrinted>
  <dcterms:created xsi:type="dcterms:W3CDTF">2016-10-15T08:32:00Z</dcterms:created>
  <dcterms:modified xsi:type="dcterms:W3CDTF">2020-08-25T07:54:00Z</dcterms:modified>
</cp:coreProperties>
</file>