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D33CC" w14:textId="77777777" w:rsidR="008027E9" w:rsidRPr="006E6D2D" w:rsidRDefault="008027E9" w:rsidP="00951D76">
      <w:pPr>
        <w:contextualSpacing/>
        <w:jc w:val="center"/>
        <w:rPr>
          <w:b/>
          <w:caps/>
          <w:noProof/>
          <w:lang w:val="ro-RO"/>
        </w:rPr>
      </w:pPr>
      <w:bookmarkStart w:id="0" w:name="_GoBack"/>
      <w:bookmarkEnd w:id="0"/>
      <w:r w:rsidRPr="006E6D2D">
        <w:rPr>
          <w:b/>
          <w:caps/>
          <w:noProof/>
          <w:lang w:val="ro-RO"/>
        </w:rPr>
        <w:t>fi</w:t>
      </w:r>
      <w:r w:rsidR="00217BE4" w:rsidRPr="006E6D2D">
        <w:rPr>
          <w:b/>
          <w:caps/>
          <w:noProof/>
          <w:lang w:val="ro-RO"/>
        </w:rPr>
        <w:t>ș</w:t>
      </w:r>
      <w:r w:rsidRPr="006E6D2D">
        <w:rPr>
          <w:b/>
          <w:caps/>
          <w:noProof/>
          <w:lang w:val="ro-RO"/>
        </w:rPr>
        <w:t>a disciplinei</w:t>
      </w:r>
    </w:p>
    <w:p w14:paraId="376907C8" w14:textId="77777777" w:rsidR="008027E9" w:rsidRPr="006E6D2D" w:rsidRDefault="008027E9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1"/>
        <w:gridCol w:w="6535"/>
      </w:tblGrid>
      <w:tr w:rsidR="008027E9" w:rsidRPr="006E6D2D" w14:paraId="202FEAB8" w14:textId="77777777" w:rsidTr="00951D76">
        <w:tc>
          <w:tcPr>
            <w:tcW w:w="3888" w:type="dxa"/>
          </w:tcPr>
          <w:p w14:paraId="535C41FF" w14:textId="77777777" w:rsidR="008027E9" w:rsidRPr="006E6D2D" w:rsidRDefault="008027E9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1.1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Institu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ia de învă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155CB246" w14:textId="3AF40812" w:rsidR="008027E9" w:rsidRPr="006E6D2D" w:rsidRDefault="00C332A4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Universitatea </w:t>
            </w:r>
            <w:r w:rsidR="00ED22A9">
              <w:rPr>
                <w:noProof/>
                <w:lang w:val="ro-RO"/>
              </w:rPr>
              <w:t>„</w:t>
            </w:r>
            <w:r w:rsidRPr="006E6D2D">
              <w:rPr>
                <w:noProof/>
                <w:lang w:val="ro-RO"/>
              </w:rPr>
              <w:t>Sapientia</w:t>
            </w:r>
            <w:r w:rsidR="00ED22A9">
              <w:rPr>
                <w:noProof/>
                <w:lang w:val="ro-RO"/>
              </w:rPr>
              <w:t>”</w:t>
            </w:r>
            <w:r w:rsidRPr="006E6D2D">
              <w:rPr>
                <w:noProof/>
                <w:lang w:val="ro-RO"/>
              </w:rPr>
              <w:t xml:space="preserve"> din</w:t>
            </w:r>
            <w:r w:rsidR="00ED22A9">
              <w:rPr>
                <w:noProof/>
                <w:lang w:val="ro-RO"/>
              </w:rPr>
              <w:t xml:space="preserve"> municipiul</w:t>
            </w:r>
            <w:r w:rsidRPr="006E6D2D">
              <w:rPr>
                <w:noProof/>
                <w:lang w:val="ro-RO"/>
              </w:rPr>
              <w:t xml:space="preserve"> Cluj</w:t>
            </w:r>
            <w:r w:rsidR="000C58EB" w:rsidRPr="006E6D2D">
              <w:rPr>
                <w:noProof/>
                <w:lang w:val="ro-RO"/>
              </w:rPr>
              <w:t>-</w:t>
            </w:r>
            <w:r w:rsidRPr="006E6D2D">
              <w:rPr>
                <w:noProof/>
                <w:lang w:val="ro-RO"/>
              </w:rPr>
              <w:t>Napoca</w:t>
            </w:r>
          </w:p>
        </w:tc>
      </w:tr>
      <w:tr w:rsidR="008027E9" w:rsidRPr="006E6D2D" w14:paraId="5F3FDCEA" w14:textId="77777777" w:rsidTr="00951D76">
        <w:tc>
          <w:tcPr>
            <w:tcW w:w="3888" w:type="dxa"/>
          </w:tcPr>
          <w:p w14:paraId="694C4CAA" w14:textId="44AD73AD" w:rsidR="008027E9" w:rsidRPr="006E6D2D" w:rsidRDefault="008027E9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1.2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Facultatea</w:t>
            </w:r>
            <w:r w:rsidR="00914EE9">
              <w:rPr>
                <w:noProof/>
                <w:lang w:val="ro-RO"/>
              </w:rPr>
              <w:t>/ DSPP</w:t>
            </w:r>
          </w:p>
        </w:tc>
        <w:tc>
          <w:tcPr>
            <w:tcW w:w="6480" w:type="dxa"/>
          </w:tcPr>
          <w:p w14:paraId="2F25FBF6" w14:textId="1B7F6132" w:rsidR="008027E9" w:rsidRPr="006E6D2D" w:rsidRDefault="00914EE9" w:rsidP="00951D76">
            <w:pPr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Facultatea de </w:t>
            </w:r>
            <w:r w:rsidR="00217BE4" w:rsidRPr="006E6D2D">
              <w:rPr>
                <w:noProof/>
                <w:lang w:val="ro-RO"/>
              </w:rPr>
              <w:t>Ș</w:t>
            </w:r>
            <w:r w:rsidR="002A3105" w:rsidRPr="006E6D2D">
              <w:rPr>
                <w:noProof/>
                <w:lang w:val="ro-RO"/>
              </w:rPr>
              <w:t>tiin</w:t>
            </w:r>
            <w:r w:rsidR="00217BE4" w:rsidRPr="006E6D2D">
              <w:rPr>
                <w:noProof/>
                <w:lang w:val="ro-RO"/>
              </w:rPr>
              <w:t>ț</w:t>
            </w:r>
            <w:r w:rsidR="002A3105" w:rsidRPr="006E6D2D">
              <w:rPr>
                <w:noProof/>
                <w:lang w:val="ro-RO"/>
              </w:rPr>
              <w:t xml:space="preserve">e Tehnice </w:t>
            </w:r>
            <w:r w:rsidR="00217BE4" w:rsidRPr="006E6D2D">
              <w:rPr>
                <w:noProof/>
                <w:lang w:val="ro-RO"/>
              </w:rPr>
              <w:t>ș</w:t>
            </w:r>
            <w:r w:rsidR="002A3105" w:rsidRPr="006E6D2D">
              <w:rPr>
                <w:noProof/>
                <w:lang w:val="ro-RO"/>
              </w:rPr>
              <w:t>i Umaniste</w:t>
            </w:r>
            <w:r>
              <w:rPr>
                <w:noProof/>
                <w:lang w:val="ro-RO"/>
              </w:rPr>
              <w:t xml:space="preserve"> din</w:t>
            </w:r>
            <w:r w:rsidR="00392608" w:rsidRPr="006E6D2D">
              <w:rPr>
                <w:noProof/>
                <w:lang w:val="ro-RO"/>
              </w:rPr>
              <w:t xml:space="preserve"> T</w:t>
            </w:r>
            <w:r>
              <w:rPr>
                <w:noProof/>
                <w:lang w:val="ro-RO"/>
              </w:rPr>
              <w:t>âr</w:t>
            </w:r>
            <w:r w:rsidR="00392608" w:rsidRPr="006E6D2D">
              <w:rPr>
                <w:noProof/>
                <w:lang w:val="ro-RO"/>
              </w:rPr>
              <w:t>g</w:t>
            </w:r>
            <w:r>
              <w:rPr>
                <w:noProof/>
                <w:lang w:val="ro-RO"/>
              </w:rPr>
              <w:t xml:space="preserve">u </w:t>
            </w:r>
            <w:r w:rsidR="00392608" w:rsidRPr="006E6D2D">
              <w:rPr>
                <w:noProof/>
                <w:lang w:val="ro-RO"/>
              </w:rPr>
              <w:t>Mure</w:t>
            </w:r>
            <w:r w:rsidR="00217BE4" w:rsidRPr="006E6D2D">
              <w:rPr>
                <w:noProof/>
                <w:lang w:val="ro-RO"/>
              </w:rPr>
              <w:t>ș</w:t>
            </w:r>
          </w:p>
        </w:tc>
      </w:tr>
      <w:tr w:rsidR="002A3105" w:rsidRPr="006E6D2D" w14:paraId="3EFE497E" w14:textId="77777777" w:rsidTr="00951D76">
        <w:tc>
          <w:tcPr>
            <w:tcW w:w="3888" w:type="dxa"/>
          </w:tcPr>
          <w:p w14:paraId="300AE0F7" w14:textId="77777777" w:rsidR="002A3105" w:rsidRPr="006E6D2D" w:rsidRDefault="002A3105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2C65230C" w14:textId="77777777" w:rsidR="002A3105" w:rsidRPr="006E6D2D" w:rsidRDefault="002A3105" w:rsidP="00951D76">
            <w:pPr>
              <w:ind w:right="-20"/>
              <w:contextualSpacing/>
              <w:rPr>
                <w:noProof/>
                <w:lang w:val="ro-RO"/>
              </w:rPr>
            </w:pPr>
            <w:r w:rsidRPr="006E6D2D">
              <w:rPr>
                <w:rFonts w:eastAsia="Times New Roman"/>
                <w:noProof/>
                <w:lang w:val="ro-RO"/>
              </w:rPr>
              <w:t>Limbi moderne aplicate</w:t>
            </w:r>
          </w:p>
        </w:tc>
      </w:tr>
      <w:tr w:rsidR="002A3105" w:rsidRPr="006E6D2D" w14:paraId="1B978045" w14:textId="77777777" w:rsidTr="00951D76">
        <w:tc>
          <w:tcPr>
            <w:tcW w:w="3888" w:type="dxa"/>
          </w:tcPr>
          <w:p w14:paraId="3C564136" w14:textId="77777777" w:rsidR="002A3105" w:rsidRPr="006E6D2D" w:rsidRDefault="002A3105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541097AC" w14:textId="77777777" w:rsidR="002A3105" w:rsidRPr="006E6D2D" w:rsidRDefault="002A3105" w:rsidP="00951D76">
            <w:pPr>
              <w:ind w:right="-20"/>
              <w:contextualSpacing/>
              <w:rPr>
                <w:noProof/>
                <w:lang w:val="ro-RO"/>
              </w:rPr>
            </w:pPr>
            <w:r w:rsidRPr="006E6D2D">
              <w:rPr>
                <w:rFonts w:eastAsia="Times New Roman"/>
                <w:noProof/>
                <w:lang w:val="ro-RO"/>
              </w:rPr>
              <w:t>Licen</w:t>
            </w:r>
            <w:r w:rsidR="00217BE4" w:rsidRPr="006E6D2D">
              <w:rPr>
                <w:rFonts w:eastAsia="Times New Roman"/>
                <w:noProof/>
                <w:lang w:val="ro-RO"/>
              </w:rPr>
              <w:t>ț</w:t>
            </w:r>
            <w:r w:rsidRPr="006E6D2D">
              <w:rPr>
                <w:rFonts w:eastAsia="Times New Roman"/>
                <w:noProof/>
                <w:lang w:val="ro-RO"/>
              </w:rPr>
              <w:t>ă</w:t>
            </w:r>
          </w:p>
        </w:tc>
      </w:tr>
      <w:tr w:rsidR="002A3105" w:rsidRPr="006E6D2D" w14:paraId="1B91299B" w14:textId="77777777" w:rsidTr="00951D76">
        <w:tc>
          <w:tcPr>
            <w:tcW w:w="3888" w:type="dxa"/>
          </w:tcPr>
          <w:p w14:paraId="1E20A84B" w14:textId="77777777" w:rsidR="002A3105" w:rsidRPr="006E6D2D" w:rsidRDefault="002A3105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65E4F4D3" w14:textId="689E7511" w:rsidR="002A3105" w:rsidRPr="006E6D2D" w:rsidRDefault="002A3105" w:rsidP="00951D76">
            <w:pPr>
              <w:ind w:right="-20"/>
              <w:contextualSpacing/>
              <w:rPr>
                <w:noProof/>
                <w:lang w:val="ro-RO"/>
              </w:rPr>
            </w:pPr>
            <w:r w:rsidRPr="006E6D2D">
              <w:rPr>
                <w:rFonts w:eastAsia="Times New Roman"/>
                <w:noProof/>
                <w:lang w:val="ro-RO"/>
              </w:rPr>
              <w:t xml:space="preserve">Traducere </w:t>
            </w:r>
            <w:r w:rsidR="00ED22A9">
              <w:rPr>
                <w:rFonts w:eastAsia="Times New Roman"/>
                <w:noProof/>
                <w:lang w:val="ro-RO"/>
              </w:rPr>
              <w:t>și i</w:t>
            </w:r>
            <w:r w:rsidRPr="006E6D2D">
              <w:rPr>
                <w:rFonts w:eastAsia="Times New Roman"/>
                <w:noProof/>
                <w:lang w:val="ro-RO"/>
              </w:rPr>
              <w:t>nterpretare</w:t>
            </w:r>
          </w:p>
        </w:tc>
      </w:tr>
      <w:tr w:rsidR="002A3105" w:rsidRPr="006E6D2D" w14:paraId="634A0D8B" w14:textId="77777777" w:rsidTr="00951D76">
        <w:tc>
          <w:tcPr>
            <w:tcW w:w="3888" w:type="dxa"/>
          </w:tcPr>
          <w:p w14:paraId="2AF5E8D1" w14:textId="77777777" w:rsidR="002A3105" w:rsidRPr="006E6D2D" w:rsidRDefault="002A3105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36F154AC" w14:textId="77777777" w:rsidR="002A3105" w:rsidRPr="006E6D2D" w:rsidRDefault="002A3105" w:rsidP="00951D76">
            <w:pPr>
              <w:ind w:right="-20"/>
              <w:contextualSpacing/>
              <w:rPr>
                <w:noProof/>
                <w:lang w:val="ro-RO"/>
              </w:rPr>
            </w:pPr>
            <w:r w:rsidRPr="006E6D2D">
              <w:rPr>
                <w:rFonts w:eastAsia="Times New Roman"/>
                <w:noProof/>
                <w:lang w:val="ro-RO"/>
              </w:rPr>
              <w:t xml:space="preserve">Traducător </w:t>
            </w:r>
            <w:r w:rsidR="00217BE4" w:rsidRPr="006E6D2D">
              <w:rPr>
                <w:rFonts w:eastAsia="Times New Roman"/>
                <w:noProof/>
                <w:lang w:val="ro-RO"/>
              </w:rPr>
              <w:t>ș</w:t>
            </w:r>
            <w:r w:rsidRPr="006E6D2D">
              <w:rPr>
                <w:rFonts w:eastAsia="Times New Roman"/>
                <w:noProof/>
                <w:lang w:val="ro-RO"/>
              </w:rPr>
              <w:t>i interpret</w:t>
            </w:r>
          </w:p>
        </w:tc>
      </w:tr>
    </w:tbl>
    <w:p w14:paraId="2AF67D24" w14:textId="77777777" w:rsidR="008027E9" w:rsidRPr="006E6D2D" w:rsidRDefault="008027E9" w:rsidP="00951D76">
      <w:pPr>
        <w:contextualSpacing/>
        <w:rPr>
          <w:noProof/>
          <w:lang w:val="ro-RO"/>
        </w:rPr>
      </w:pPr>
    </w:p>
    <w:p w14:paraId="4D2B9A48" w14:textId="77777777" w:rsidR="008027E9" w:rsidRPr="006E6D2D" w:rsidRDefault="008027E9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457"/>
        <w:gridCol w:w="1513"/>
        <w:gridCol w:w="540"/>
        <w:gridCol w:w="2158"/>
        <w:gridCol w:w="543"/>
        <w:gridCol w:w="2610"/>
        <w:gridCol w:w="651"/>
      </w:tblGrid>
      <w:tr w:rsidR="001138E1" w:rsidRPr="006E6D2D" w14:paraId="05A7164A" w14:textId="77777777" w:rsidTr="00FB6865">
        <w:tc>
          <w:tcPr>
            <w:tcW w:w="3954" w:type="dxa"/>
            <w:gridSpan w:val="3"/>
          </w:tcPr>
          <w:p w14:paraId="1CCA8B95" w14:textId="77777777" w:rsidR="001138E1" w:rsidRPr="006E6D2D" w:rsidRDefault="001138E1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2.0. Departamentul</w:t>
            </w:r>
          </w:p>
        </w:tc>
        <w:tc>
          <w:tcPr>
            <w:tcW w:w="6502" w:type="dxa"/>
            <w:gridSpan w:val="5"/>
          </w:tcPr>
          <w:p w14:paraId="21599B49" w14:textId="77777777" w:rsidR="001138E1" w:rsidRPr="00914EE9" w:rsidRDefault="00ED4EFF" w:rsidP="00951D76">
            <w:pPr>
              <w:contextualSpacing/>
              <w:rPr>
                <w:bCs/>
                <w:noProof/>
                <w:lang w:val="ro-RO"/>
              </w:rPr>
            </w:pPr>
            <w:r w:rsidRPr="00914EE9">
              <w:rPr>
                <w:rFonts w:eastAsia="Times New Roman"/>
                <w:bCs/>
                <w:noProof/>
                <w:lang w:val="ro-RO"/>
              </w:rPr>
              <w:t xml:space="preserve">Departamentul de </w:t>
            </w:r>
            <w:r w:rsidR="00392608" w:rsidRPr="00914EE9">
              <w:rPr>
                <w:rFonts w:eastAsia="Times New Roman"/>
                <w:bCs/>
                <w:noProof/>
                <w:lang w:val="ro-RO"/>
              </w:rPr>
              <w:t>Lingvistică Aplicată</w:t>
            </w:r>
          </w:p>
        </w:tc>
      </w:tr>
      <w:tr w:rsidR="00A61861" w:rsidRPr="001A5A0F" w14:paraId="2DDBC216" w14:textId="77777777" w:rsidTr="00FB6865">
        <w:tc>
          <w:tcPr>
            <w:tcW w:w="3954" w:type="dxa"/>
            <w:gridSpan w:val="3"/>
          </w:tcPr>
          <w:p w14:paraId="760ED565" w14:textId="77777777" w:rsidR="00A61861" w:rsidRPr="006E6D2D" w:rsidRDefault="00A61861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2.1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Denumirea disciplinei</w:t>
            </w:r>
          </w:p>
        </w:tc>
        <w:tc>
          <w:tcPr>
            <w:tcW w:w="6502" w:type="dxa"/>
            <w:gridSpan w:val="5"/>
          </w:tcPr>
          <w:p w14:paraId="5C279C38" w14:textId="77777777" w:rsidR="00A61861" w:rsidRDefault="002D611E" w:rsidP="00951D76">
            <w:pPr>
              <w:contextualSpacing/>
              <w:rPr>
                <w:rFonts w:eastAsia="Times New Roman"/>
                <w:b/>
                <w:noProof/>
                <w:lang w:val="ro-RO"/>
              </w:rPr>
            </w:pPr>
            <w:r>
              <w:rPr>
                <w:rFonts w:eastAsia="Times New Roman"/>
                <w:b/>
                <w:noProof/>
                <w:lang w:val="ro-RO"/>
              </w:rPr>
              <w:t>Traducer</w:t>
            </w:r>
            <w:r w:rsidR="00EA7E9B">
              <w:rPr>
                <w:rFonts w:eastAsia="Times New Roman"/>
                <w:b/>
                <w:noProof/>
                <w:lang w:val="ro-RO"/>
              </w:rPr>
              <w:t>e</w:t>
            </w:r>
            <w:r>
              <w:rPr>
                <w:rFonts w:eastAsia="Times New Roman"/>
                <w:b/>
                <w:noProof/>
                <w:lang w:val="ro-RO"/>
              </w:rPr>
              <w:t xml:space="preserve"> a</w:t>
            </w:r>
            <w:r w:rsidR="00EA7E9B">
              <w:rPr>
                <w:rFonts w:eastAsia="Times New Roman"/>
                <w:b/>
                <w:noProof/>
                <w:lang w:val="ro-RO"/>
              </w:rPr>
              <w:t>udiovizuală M-E/G (</w:t>
            </w:r>
            <w:r w:rsidR="00702704">
              <w:rPr>
                <w:rFonts w:eastAsia="Times New Roman"/>
                <w:b/>
                <w:noProof/>
                <w:lang w:val="ro-RO"/>
              </w:rPr>
              <w:t>MBHB0971, 0981</w:t>
            </w:r>
            <w:r w:rsidR="00EA7E9B">
              <w:rPr>
                <w:rFonts w:eastAsia="Times New Roman"/>
                <w:b/>
                <w:noProof/>
                <w:lang w:val="ro-RO"/>
              </w:rPr>
              <w:t>)</w:t>
            </w:r>
          </w:p>
          <w:p w14:paraId="2D055B11" w14:textId="77777777" w:rsidR="00073F1D" w:rsidRDefault="00073F1D" w:rsidP="00951D76">
            <w:pPr>
              <w:contextualSpacing/>
              <w:rPr>
                <w:rFonts w:eastAsia="Times New Roman"/>
                <w:b/>
                <w:noProof/>
                <w:lang w:val="ro-RO"/>
              </w:rPr>
            </w:pPr>
            <w:r>
              <w:rPr>
                <w:rFonts w:eastAsia="Times New Roman"/>
                <w:b/>
                <w:noProof/>
                <w:lang w:val="ro-RO"/>
              </w:rPr>
              <w:t>Audiovizuális fordítás M-A/N</w:t>
            </w:r>
          </w:p>
          <w:p w14:paraId="321D6C98" w14:textId="4FC96A8B" w:rsidR="00073F1D" w:rsidRPr="006E6D2D" w:rsidRDefault="00073F1D" w:rsidP="00951D76">
            <w:pPr>
              <w:contextualSpacing/>
              <w:rPr>
                <w:b/>
                <w:noProof/>
                <w:lang w:val="ro-RO"/>
              </w:rPr>
            </w:pPr>
            <w:r>
              <w:rPr>
                <w:b/>
                <w:noProof/>
                <w:lang w:val="ro-RO"/>
              </w:rPr>
              <w:t>Audiovi</w:t>
            </w:r>
            <w:r w:rsidR="003F7B48">
              <w:rPr>
                <w:b/>
                <w:noProof/>
                <w:lang w:val="ro-RO"/>
              </w:rPr>
              <w:t>s</w:t>
            </w:r>
            <w:r>
              <w:rPr>
                <w:b/>
                <w:noProof/>
                <w:lang w:val="ro-RO"/>
              </w:rPr>
              <w:t>ual Translation H-E/G</w:t>
            </w:r>
          </w:p>
        </w:tc>
      </w:tr>
      <w:tr w:rsidR="00A61861" w:rsidRPr="006E6D2D" w14:paraId="44387BE6" w14:textId="77777777" w:rsidTr="00FB6865">
        <w:tc>
          <w:tcPr>
            <w:tcW w:w="3954" w:type="dxa"/>
            <w:gridSpan w:val="3"/>
          </w:tcPr>
          <w:p w14:paraId="62B188AD" w14:textId="77777777" w:rsidR="00A61861" w:rsidRPr="006E6D2D" w:rsidRDefault="00A61861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2.2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Titularul activită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ilor de curs</w:t>
            </w:r>
          </w:p>
        </w:tc>
        <w:tc>
          <w:tcPr>
            <w:tcW w:w="6502" w:type="dxa"/>
            <w:gridSpan w:val="5"/>
          </w:tcPr>
          <w:p w14:paraId="4FD54803" w14:textId="2F3A622B" w:rsidR="00A61861" w:rsidRPr="006E6D2D" w:rsidRDefault="00914EE9" w:rsidP="00951D76">
            <w:pPr>
              <w:contextualSpacing/>
              <w:rPr>
                <w:noProof/>
                <w:lang w:val="ro-RO"/>
              </w:rPr>
            </w:pPr>
            <w:r>
              <w:rPr>
                <w:rFonts w:eastAsia="Times New Roman"/>
                <w:noProof/>
                <w:lang w:val="ro-RO"/>
              </w:rPr>
              <w:t>C</w:t>
            </w:r>
            <w:r w:rsidRPr="006E6D2D">
              <w:rPr>
                <w:rFonts w:eastAsia="Times New Roman"/>
                <w:noProof/>
                <w:lang w:val="ro-RO"/>
              </w:rPr>
              <w:t>onf</w:t>
            </w:r>
            <w:r w:rsidR="002D611E" w:rsidRPr="006E6D2D">
              <w:rPr>
                <w:rFonts w:eastAsia="Times New Roman"/>
                <w:noProof/>
                <w:lang w:val="ro-RO"/>
              </w:rPr>
              <w:t>. univ. dr.</w:t>
            </w:r>
            <w:r w:rsidR="002D611E">
              <w:rPr>
                <w:rFonts w:eastAsia="Times New Roman"/>
                <w:noProof/>
                <w:lang w:val="ro-RO"/>
              </w:rPr>
              <w:t xml:space="preserve"> </w:t>
            </w:r>
            <w:r w:rsidR="00392608" w:rsidRPr="006E6D2D">
              <w:rPr>
                <w:rFonts w:eastAsia="Times New Roman"/>
                <w:noProof/>
                <w:lang w:val="ro-RO"/>
              </w:rPr>
              <w:t>IMRE Attila</w:t>
            </w:r>
            <w:r w:rsidR="00EA7E9B">
              <w:rPr>
                <w:rFonts w:eastAsia="Times New Roman"/>
                <w:noProof/>
                <w:lang w:val="ro-RO"/>
              </w:rPr>
              <w:t xml:space="preserve"> (M)</w:t>
            </w:r>
          </w:p>
        </w:tc>
      </w:tr>
      <w:tr w:rsidR="00392608" w:rsidRPr="006E6D2D" w14:paraId="30694BA4" w14:textId="77777777" w:rsidTr="00FB6865">
        <w:trPr>
          <w:trHeight w:val="191"/>
        </w:trPr>
        <w:tc>
          <w:tcPr>
            <w:tcW w:w="2441" w:type="dxa"/>
            <w:gridSpan w:val="2"/>
            <w:vMerge w:val="restart"/>
          </w:tcPr>
          <w:p w14:paraId="45F5F41B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2.3. Titularul (ii) activită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 xml:space="preserve">ilor de </w:t>
            </w:r>
          </w:p>
          <w:p w14:paraId="07A28994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 </w:t>
            </w:r>
          </w:p>
        </w:tc>
        <w:tc>
          <w:tcPr>
            <w:tcW w:w="1513" w:type="dxa"/>
          </w:tcPr>
          <w:p w14:paraId="0184971C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seminar</w:t>
            </w:r>
          </w:p>
        </w:tc>
        <w:tc>
          <w:tcPr>
            <w:tcW w:w="6502" w:type="dxa"/>
            <w:gridSpan w:val="5"/>
          </w:tcPr>
          <w:p w14:paraId="56A5C451" w14:textId="77777777" w:rsidR="00392608" w:rsidRPr="006E6D2D" w:rsidRDefault="002D611E" w:rsidP="00951D76">
            <w:pPr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</w:tr>
      <w:tr w:rsidR="002D611E" w:rsidRPr="006E6D2D" w14:paraId="394BF420" w14:textId="77777777" w:rsidTr="00FB6865">
        <w:trPr>
          <w:trHeight w:val="190"/>
        </w:trPr>
        <w:tc>
          <w:tcPr>
            <w:tcW w:w="2441" w:type="dxa"/>
            <w:gridSpan w:val="2"/>
            <w:vMerge/>
          </w:tcPr>
          <w:p w14:paraId="5287AD51" w14:textId="77777777" w:rsidR="002D611E" w:rsidRPr="006E6D2D" w:rsidRDefault="002D611E" w:rsidP="002D611E">
            <w:pPr>
              <w:contextualSpacing/>
              <w:rPr>
                <w:noProof/>
                <w:lang w:val="ro-RO"/>
              </w:rPr>
            </w:pPr>
          </w:p>
        </w:tc>
        <w:tc>
          <w:tcPr>
            <w:tcW w:w="1513" w:type="dxa"/>
          </w:tcPr>
          <w:p w14:paraId="3A10D4FE" w14:textId="77777777" w:rsidR="002D611E" w:rsidRPr="006E6D2D" w:rsidRDefault="002D611E" w:rsidP="002D611E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laborator</w:t>
            </w:r>
          </w:p>
        </w:tc>
        <w:tc>
          <w:tcPr>
            <w:tcW w:w="6502" w:type="dxa"/>
            <w:gridSpan w:val="5"/>
          </w:tcPr>
          <w:p w14:paraId="723BA5BF" w14:textId="022F5FDE" w:rsidR="002D611E" w:rsidRDefault="00914EE9" w:rsidP="002D611E">
            <w:pPr>
              <w:contextualSpacing/>
              <w:rPr>
                <w:rFonts w:eastAsia="Times New Roman"/>
                <w:noProof/>
                <w:lang w:val="ro-RO"/>
              </w:rPr>
            </w:pPr>
            <w:r>
              <w:rPr>
                <w:rFonts w:eastAsia="Times New Roman"/>
                <w:noProof/>
                <w:lang w:val="ro-RO"/>
              </w:rPr>
              <w:t>C</w:t>
            </w:r>
            <w:r w:rsidRPr="006E6D2D">
              <w:rPr>
                <w:rFonts w:eastAsia="Times New Roman"/>
                <w:noProof/>
                <w:lang w:val="ro-RO"/>
              </w:rPr>
              <w:t>onf</w:t>
            </w:r>
            <w:r w:rsidR="002D611E" w:rsidRPr="006E6D2D">
              <w:rPr>
                <w:rFonts w:eastAsia="Times New Roman"/>
                <w:noProof/>
                <w:lang w:val="ro-RO"/>
              </w:rPr>
              <w:t>. univ. dr.</w:t>
            </w:r>
            <w:r w:rsidR="002D611E">
              <w:rPr>
                <w:rFonts w:eastAsia="Times New Roman"/>
                <w:noProof/>
                <w:lang w:val="ro-RO"/>
              </w:rPr>
              <w:t xml:space="preserve"> </w:t>
            </w:r>
            <w:r w:rsidR="002D611E" w:rsidRPr="006E6D2D">
              <w:rPr>
                <w:rFonts w:eastAsia="Times New Roman"/>
                <w:noProof/>
                <w:lang w:val="ro-RO"/>
              </w:rPr>
              <w:t>IMRE Attila</w:t>
            </w:r>
            <w:r w:rsidR="00EA7E9B">
              <w:rPr>
                <w:rFonts w:eastAsia="Times New Roman"/>
                <w:noProof/>
                <w:lang w:val="ro-RO"/>
              </w:rPr>
              <w:t xml:space="preserve"> (E)</w:t>
            </w:r>
          </w:p>
          <w:p w14:paraId="32C7E293" w14:textId="5A26B0D9" w:rsidR="00EA7E9B" w:rsidRPr="006E6D2D" w:rsidRDefault="00914EE9" w:rsidP="002D611E">
            <w:pPr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Lect</w:t>
            </w:r>
            <w:r w:rsidR="00EA7E9B">
              <w:rPr>
                <w:noProof/>
                <w:lang w:val="ro-RO"/>
              </w:rPr>
              <w:t>. univ. dr. KOMMER Alois (G)</w:t>
            </w:r>
          </w:p>
        </w:tc>
      </w:tr>
      <w:tr w:rsidR="00392608" w:rsidRPr="006E6D2D" w14:paraId="5A827242" w14:textId="77777777" w:rsidTr="00FB6865">
        <w:trPr>
          <w:trHeight w:val="190"/>
        </w:trPr>
        <w:tc>
          <w:tcPr>
            <w:tcW w:w="2441" w:type="dxa"/>
            <w:gridSpan w:val="2"/>
            <w:vMerge/>
          </w:tcPr>
          <w:p w14:paraId="31E1377B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</w:p>
        </w:tc>
        <w:tc>
          <w:tcPr>
            <w:tcW w:w="1513" w:type="dxa"/>
          </w:tcPr>
          <w:p w14:paraId="281A4AF1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proiect</w:t>
            </w:r>
          </w:p>
        </w:tc>
        <w:tc>
          <w:tcPr>
            <w:tcW w:w="6502" w:type="dxa"/>
            <w:gridSpan w:val="5"/>
          </w:tcPr>
          <w:p w14:paraId="13B9D08D" w14:textId="77777777" w:rsidR="00392608" w:rsidRPr="006E6D2D" w:rsidRDefault="00951D76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-</w:t>
            </w:r>
          </w:p>
        </w:tc>
      </w:tr>
      <w:tr w:rsidR="00392608" w:rsidRPr="006E6D2D" w14:paraId="377C0DC8" w14:textId="77777777" w:rsidTr="00FB6865">
        <w:tc>
          <w:tcPr>
            <w:tcW w:w="1984" w:type="dxa"/>
          </w:tcPr>
          <w:p w14:paraId="5966414A" w14:textId="77777777" w:rsidR="00392608" w:rsidRPr="006E6D2D" w:rsidRDefault="00392608" w:rsidP="00951D76">
            <w:pPr>
              <w:ind w:right="-189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2.4. Anul de studiu</w:t>
            </w:r>
          </w:p>
        </w:tc>
        <w:tc>
          <w:tcPr>
            <w:tcW w:w="457" w:type="dxa"/>
          </w:tcPr>
          <w:p w14:paraId="42E3A2A1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II</w:t>
            </w:r>
            <w:r w:rsidR="00B810F8" w:rsidRPr="006E6D2D">
              <w:rPr>
                <w:noProof/>
                <w:lang w:val="ro-RO"/>
              </w:rPr>
              <w:t>I</w:t>
            </w:r>
          </w:p>
        </w:tc>
        <w:tc>
          <w:tcPr>
            <w:tcW w:w="1513" w:type="dxa"/>
          </w:tcPr>
          <w:p w14:paraId="31E2BFCC" w14:textId="77777777" w:rsidR="00392608" w:rsidRPr="006E6D2D" w:rsidRDefault="00392608" w:rsidP="00951D76">
            <w:pPr>
              <w:ind w:left="-82" w:right="-164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62E4CF9F" w14:textId="77777777" w:rsidR="00392608" w:rsidRPr="006E6D2D" w:rsidRDefault="00B810F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5</w:t>
            </w:r>
          </w:p>
        </w:tc>
        <w:tc>
          <w:tcPr>
            <w:tcW w:w="2158" w:type="dxa"/>
          </w:tcPr>
          <w:p w14:paraId="7EFDF0C8" w14:textId="77777777" w:rsidR="00392608" w:rsidRPr="006E6D2D" w:rsidRDefault="00392608" w:rsidP="00951D76">
            <w:pPr>
              <w:ind w:left="-80" w:right="-122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6F0B29AE" w14:textId="77777777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E</w:t>
            </w:r>
          </w:p>
        </w:tc>
        <w:tc>
          <w:tcPr>
            <w:tcW w:w="2610" w:type="dxa"/>
          </w:tcPr>
          <w:p w14:paraId="1A4AF053" w14:textId="77777777" w:rsidR="00392608" w:rsidRPr="006E6D2D" w:rsidRDefault="00392608" w:rsidP="00951D76">
            <w:pPr>
              <w:ind w:left="-38" w:right="-136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2.7. Regimul disciplinei</w:t>
            </w:r>
          </w:p>
        </w:tc>
        <w:tc>
          <w:tcPr>
            <w:tcW w:w="651" w:type="dxa"/>
          </w:tcPr>
          <w:p w14:paraId="47F25A39" w14:textId="2F29E8F9" w:rsidR="00392608" w:rsidRPr="006E6D2D" w:rsidRDefault="00392608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D</w:t>
            </w:r>
            <w:r w:rsidR="00D8040B">
              <w:rPr>
                <w:noProof/>
                <w:lang w:val="ro-RO"/>
              </w:rPr>
              <w:t>A</w:t>
            </w:r>
          </w:p>
        </w:tc>
      </w:tr>
    </w:tbl>
    <w:p w14:paraId="2D2979AA" w14:textId="77777777" w:rsidR="008027E9" w:rsidRPr="006E6D2D" w:rsidRDefault="008027E9" w:rsidP="00951D76">
      <w:pPr>
        <w:contextualSpacing/>
        <w:rPr>
          <w:noProof/>
          <w:lang w:val="ro-RO"/>
        </w:rPr>
      </w:pPr>
    </w:p>
    <w:p w14:paraId="2B2D3797" w14:textId="77777777" w:rsidR="008027E9" w:rsidRPr="006E6D2D" w:rsidRDefault="008027E9" w:rsidP="00951D76">
      <w:pPr>
        <w:contextualSpacing/>
        <w:rPr>
          <w:noProof/>
          <w:lang w:val="ro-RO"/>
        </w:rPr>
      </w:pPr>
      <w:r w:rsidRPr="006E6D2D">
        <w:rPr>
          <w:b/>
          <w:noProof/>
          <w:lang w:val="ro-RO"/>
        </w:rPr>
        <w:t>3. Timpul total estimat</w:t>
      </w:r>
      <w:r w:rsidRPr="006E6D2D">
        <w:rPr>
          <w:noProof/>
          <w:lang w:val="ro-RO"/>
        </w:rPr>
        <w:t xml:space="preserve"> (ore pe semestru al activită</w:t>
      </w:r>
      <w:r w:rsidR="00217BE4" w:rsidRPr="006E6D2D">
        <w:rPr>
          <w:noProof/>
          <w:lang w:val="ro-RO"/>
        </w:rPr>
        <w:t>ț</w:t>
      </w:r>
      <w:r w:rsidRPr="006E6D2D">
        <w:rPr>
          <w:noProof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1"/>
        <w:gridCol w:w="817"/>
        <w:gridCol w:w="1997"/>
        <w:gridCol w:w="817"/>
        <w:gridCol w:w="2253"/>
        <w:gridCol w:w="651"/>
      </w:tblGrid>
      <w:tr w:rsidR="008027E9" w:rsidRPr="006E6D2D" w14:paraId="56EE6A57" w14:textId="77777777" w:rsidTr="00FB6865">
        <w:tc>
          <w:tcPr>
            <w:tcW w:w="3921" w:type="dxa"/>
            <w:shd w:val="clear" w:color="auto" w:fill="auto"/>
          </w:tcPr>
          <w:p w14:paraId="00BA649D" w14:textId="77777777" w:rsidR="008027E9" w:rsidRPr="006E6D2D" w:rsidRDefault="008027E9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3.1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Număr de ore pe săptămână</w:t>
            </w:r>
          </w:p>
        </w:tc>
        <w:tc>
          <w:tcPr>
            <w:tcW w:w="817" w:type="dxa"/>
            <w:shd w:val="clear" w:color="auto" w:fill="auto"/>
          </w:tcPr>
          <w:p w14:paraId="09B29CD3" w14:textId="77777777" w:rsidR="008027E9" w:rsidRPr="006E6D2D" w:rsidRDefault="00B810F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</w:t>
            </w:r>
          </w:p>
        </w:tc>
        <w:tc>
          <w:tcPr>
            <w:tcW w:w="1997" w:type="dxa"/>
            <w:shd w:val="clear" w:color="auto" w:fill="auto"/>
          </w:tcPr>
          <w:p w14:paraId="24371090" w14:textId="77777777" w:rsidR="008027E9" w:rsidRPr="006E6D2D" w:rsidRDefault="008027E9" w:rsidP="00951D76">
            <w:pPr>
              <w:ind w:right="-189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Din care: 3.2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curs</w:t>
            </w:r>
          </w:p>
        </w:tc>
        <w:tc>
          <w:tcPr>
            <w:tcW w:w="817" w:type="dxa"/>
            <w:shd w:val="clear" w:color="auto" w:fill="auto"/>
          </w:tcPr>
          <w:p w14:paraId="6F833558" w14:textId="77777777" w:rsidR="008027E9" w:rsidRPr="006E6D2D" w:rsidRDefault="00B810F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</w:t>
            </w:r>
          </w:p>
        </w:tc>
        <w:tc>
          <w:tcPr>
            <w:tcW w:w="2253" w:type="dxa"/>
            <w:shd w:val="clear" w:color="auto" w:fill="auto"/>
          </w:tcPr>
          <w:p w14:paraId="17A26F0A" w14:textId="77777777" w:rsidR="008027E9" w:rsidRPr="006E6D2D" w:rsidRDefault="008027E9" w:rsidP="00951D76">
            <w:pPr>
              <w:ind w:right="-170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3.3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</w:t>
            </w:r>
            <w:r w:rsidR="002D611E">
              <w:rPr>
                <w:noProof/>
                <w:lang w:val="ro-RO"/>
              </w:rPr>
              <w:t>laborator</w:t>
            </w:r>
            <w:r w:rsidR="00392608" w:rsidRPr="006E6D2D">
              <w:rPr>
                <w:noProof/>
                <w:lang w:val="ro-RO"/>
              </w:rPr>
              <w:t xml:space="preserve"> </w:t>
            </w:r>
          </w:p>
        </w:tc>
        <w:tc>
          <w:tcPr>
            <w:tcW w:w="651" w:type="dxa"/>
            <w:shd w:val="clear" w:color="auto" w:fill="auto"/>
          </w:tcPr>
          <w:p w14:paraId="4D8A8A74" w14:textId="77777777" w:rsidR="001E4C42" w:rsidRPr="006E6D2D" w:rsidRDefault="0039260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</w:t>
            </w:r>
          </w:p>
        </w:tc>
      </w:tr>
      <w:tr w:rsidR="008027E9" w:rsidRPr="006E6D2D" w14:paraId="1C18CC4F" w14:textId="77777777" w:rsidTr="00FB6865">
        <w:tc>
          <w:tcPr>
            <w:tcW w:w="3921" w:type="dxa"/>
            <w:shd w:val="clear" w:color="auto" w:fill="auto"/>
          </w:tcPr>
          <w:p w14:paraId="13728285" w14:textId="77777777" w:rsidR="008027E9" w:rsidRPr="006E6D2D" w:rsidRDefault="008027E9" w:rsidP="00951D76">
            <w:pPr>
              <w:ind w:right="-192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3.4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Total ore din planul de învă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ământ</w:t>
            </w:r>
          </w:p>
        </w:tc>
        <w:tc>
          <w:tcPr>
            <w:tcW w:w="817" w:type="dxa"/>
            <w:shd w:val="clear" w:color="auto" w:fill="auto"/>
          </w:tcPr>
          <w:p w14:paraId="2B05E5E9" w14:textId="77777777" w:rsidR="008027E9" w:rsidRPr="006E6D2D" w:rsidRDefault="00B810F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28</w:t>
            </w:r>
          </w:p>
        </w:tc>
        <w:tc>
          <w:tcPr>
            <w:tcW w:w="1997" w:type="dxa"/>
            <w:shd w:val="clear" w:color="auto" w:fill="auto"/>
          </w:tcPr>
          <w:p w14:paraId="1C51DAF6" w14:textId="77777777" w:rsidR="008027E9" w:rsidRPr="006E6D2D" w:rsidRDefault="008027E9" w:rsidP="00951D76">
            <w:pPr>
              <w:ind w:right="-178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Din care: 3.5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curs</w:t>
            </w:r>
          </w:p>
        </w:tc>
        <w:tc>
          <w:tcPr>
            <w:tcW w:w="817" w:type="dxa"/>
            <w:shd w:val="clear" w:color="auto" w:fill="auto"/>
          </w:tcPr>
          <w:p w14:paraId="0B49D581" w14:textId="77777777" w:rsidR="008027E9" w:rsidRPr="006E6D2D" w:rsidRDefault="00B810F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14</w:t>
            </w:r>
          </w:p>
        </w:tc>
        <w:tc>
          <w:tcPr>
            <w:tcW w:w="2253" w:type="dxa"/>
            <w:shd w:val="clear" w:color="auto" w:fill="auto"/>
          </w:tcPr>
          <w:p w14:paraId="2A9069F1" w14:textId="77777777" w:rsidR="008027E9" w:rsidRPr="006E6D2D" w:rsidRDefault="008027E9" w:rsidP="00951D76">
            <w:pPr>
              <w:ind w:right="-128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3.6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</w:t>
            </w:r>
            <w:r w:rsidR="002D611E">
              <w:rPr>
                <w:noProof/>
                <w:lang w:val="ro-RO"/>
              </w:rPr>
              <w:t>laborator</w:t>
            </w:r>
          </w:p>
        </w:tc>
        <w:tc>
          <w:tcPr>
            <w:tcW w:w="651" w:type="dxa"/>
            <w:shd w:val="clear" w:color="auto" w:fill="auto"/>
          </w:tcPr>
          <w:p w14:paraId="013CFF3F" w14:textId="77777777" w:rsidR="001E4C42" w:rsidRPr="006E6D2D" w:rsidRDefault="00392608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14</w:t>
            </w:r>
          </w:p>
        </w:tc>
      </w:tr>
      <w:tr w:rsidR="008027E9" w:rsidRPr="006E6D2D" w14:paraId="4776B20F" w14:textId="77777777" w:rsidTr="00FB6865">
        <w:tc>
          <w:tcPr>
            <w:tcW w:w="9805" w:type="dxa"/>
            <w:gridSpan w:val="5"/>
            <w:shd w:val="clear" w:color="auto" w:fill="auto"/>
          </w:tcPr>
          <w:p w14:paraId="7E62C3EB" w14:textId="77777777" w:rsidR="008027E9" w:rsidRPr="006E6D2D" w:rsidRDefault="008027E9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Distribu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ia fondului de timp:</w:t>
            </w:r>
          </w:p>
        </w:tc>
        <w:tc>
          <w:tcPr>
            <w:tcW w:w="651" w:type="dxa"/>
            <w:shd w:val="clear" w:color="auto" w:fill="auto"/>
          </w:tcPr>
          <w:p w14:paraId="2E03162E" w14:textId="77777777" w:rsidR="008027E9" w:rsidRPr="006E6D2D" w:rsidRDefault="008027E9" w:rsidP="00951D76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 w:rsidRPr="006E6D2D">
              <w:rPr>
                <w:noProof/>
                <w:color w:val="000000"/>
                <w:lang w:val="ro-RO"/>
              </w:rPr>
              <w:t>ore</w:t>
            </w:r>
          </w:p>
        </w:tc>
      </w:tr>
      <w:tr w:rsidR="005F51A0" w:rsidRPr="006E6D2D" w14:paraId="354835F8" w14:textId="77777777" w:rsidTr="00FB6865">
        <w:tc>
          <w:tcPr>
            <w:tcW w:w="9805" w:type="dxa"/>
            <w:gridSpan w:val="5"/>
            <w:shd w:val="clear" w:color="auto" w:fill="auto"/>
          </w:tcPr>
          <w:p w14:paraId="2F99D100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Studiul după manual, suport de curs, bibliografie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noti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e</w:t>
            </w:r>
          </w:p>
        </w:tc>
        <w:tc>
          <w:tcPr>
            <w:tcW w:w="651" w:type="dxa"/>
            <w:shd w:val="clear" w:color="auto" w:fill="auto"/>
          </w:tcPr>
          <w:p w14:paraId="3AF3C7E3" w14:textId="342A7550" w:rsidR="00EA7E9B" w:rsidRPr="006E6D2D" w:rsidRDefault="00914EE9" w:rsidP="00EA7E9B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>
              <w:rPr>
                <w:noProof/>
                <w:color w:val="000000"/>
                <w:lang w:val="ro-RO"/>
              </w:rPr>
              <w:t>15</w:t>
            </w:r>
          </w:p>
        </w:tc>
      </w:tr>
      <w:tr w:rsidR="005F51A0" w:rsidRPr="006E6D2D" w14:paraId="2185EC65" w14:textId="77777777" w:rsidTr="00FB6865">
        <w:tc>
          <w:tcPr>
            <w:tcW w:w="9805" w:type="dxa"/>
            <w:gridSpan w:val="5"/>
            <w:shd w:val="clear" w:color="auto" w:fill="auto"/>
          </w:tcPr>
          <w:p w14:paraId="2E4B3127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Documentare suplimentară în bibliotecă, pe platformele electronice de specialitate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pe teren</w:t>
            </w:r>
          </w:p>
        </w:tc>
        <w:tc>
          <w:tcPr>
            <w:tcW w:w="651" w:type="dxa"/>
            <w:shd w:val="clear" w:color="auto" w:fill="auto"/>
          </w:tcPr>
          <w:p w14:paraId="15A978A4" w14:textId="39152898" w:rsidR="005F51A0" w:rsidRPr="006E6D2D" w:rsidRDefault="00914EE9" w:rsidP="00951D76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>
              <w:rPr>
                <w:noProof/>
                <w:color w:val="000000"/>
                <w:lang w:val="ro-RO"/>
              </w:rPr>
              <w:t>5</w:t>
            </w:r>
          </w:p>
        </w:tc>
      </w:tr>
      <w:tr w:rsidR="005F51A0" w:rsidRPr="006E6D2D" w14:paraId="5FA74AF7" w14:textId="77777777" w:rsidTr="00FB6865">
        <w:tc>
          <w:tcPr>
            <w:tcW w:w="9805" w:type="dxa"/>
            <w:gridSpan w:val="5"/>
            <w:shd w:val="clear" w:color="auto" w:fill="auto"/>
          </w:tcPr>
          <w:p w14:paraId="29CA96BD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Pregătire seminarii/laboratoare, teme, referate, portofolii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eseuri</w:t>
            </w:r>
          </w:p>
        </w:tc>
        <w:tc>
          <w:tcPr>
            <w:tcW w:w="651" w:type="dxa"/>
            <w:shd w:val="clear" w:color="auto" w:fill="auto"/>
          </w:tcPr>
          <w:p w14:paraId="5C05A567" w14:textId="7801F631" w:rsidR="005F51A0" w:rsidRPr="006E6D2D" w:rsidRDefault="00914EE9" w:rsidP="00951D76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>
              <w:rPr>
                <w:noProof/>
                <w:color w:val="000000"/>
                <w:lang w:val="ro-RO"/>
              </w:rPr>
              <w:t>20</w:t>
            </w:r>
          </w:p>
        </w:tc>
      </w:tr>
      <w:tr w:rsidR="005F51A0" w:rsidRPr="006E6D2D" w14:paraId="55D4CC1B" w14:textId="77777777" w:rsidTr="00FB6865">
        <w:tc>
          <w:tcPr>
            <w:tcW w:w="9805" w:type="dxa"/>
            <w:gridSpan w:val="5"/>
            <w:shd w:val="clear" w:color="auto" w:fill="auto"/>
          </w:tcPr>
          <w:p w14:paraId="2FF3CACF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Tutoriat</w:t>
            </w:r>
          </w:p>
        </w:tc>
        <w:tc>
          <w:tcPr>
            <w:tcW w:w="651" w:type="dxa"/>
            <w:shd w:val="clear" w:color="auto" w:fill="auto"/>
          </w:tcPr>
          <w:p w14:paraId="36B84250" w14:textId="2C4D1A40" w:rsidR="005F51A0" w:rsidRPr="006E6D2D" w:rsidRDefault="00914EE9" w:rsidP="00951D76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>
              <w:rPr>
                <w:noProof/>
                <w:color w:val="000000"/>
                <w:lang w:val="ro-RO"/>
              </w:rPr>
              <w:t>5</w:t>
            </w:r>
          </w:p>
        </w:tc>
      </w:tr>
      <w:tr w:rsidR="005F51A0" w:rsidRPr="006E6D2D" w14:paraId="75DABB22" w14:textId="77777777" w:rsidTr="00FB6865">
        <w:tc>
          <w:tcPr>
            <w:tcW w:w="9805" w:type="dxa"/>
            <w:gridSpan w:val="5"/>
            <w:shd w:val="clear" w:color="auto" w:fill="auto"/>
          </w:tcPr>
          <w:p w14:paraId="5FA707DD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Examinări </w:t>
            </w:r>
          </w:p>
        </w:tc>
        <w:tc>
          <w:tcPr>
            <w:tcW w:w="651" w:type="dxa"/>
            <w:shd w:val="clear" w:color="auto" w:fill="auto"/>
          </w:tcPr>
          <w:p w14:paraId="25E5A43F" w14:textId="65BDEFB8" w:rsidR="005F51A0" w:rsidRPr="006E6D2D" w:rsidRDefault="00EA7E9B" w:rsidP="00951D76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>
              <w:rPr>
                <w:noProof/>
                <w:color w:val="000000"/>
                <w:lang w:val="ro-RO"/>
              </w:rPr>
              <w:t>2</w:t>
            </w:r>
          </w:p>
        </w:tc>
      </w:tr>
      <w:tr w:rsidR="005F51A0" w:rsidRPr="006E6D2D" w14:paraId="4E2CF4CA" w14:textId="77777777" w:rsidTr="00FB6865">
        <w:tc>
          <w:tcPr>
            <w:tcW w:w="9805" w:type="dxa"/>
            <w:gridSpan w:val="5"/>
            <w:shd w:val="clear" w:color="auto" w:fill="auto"/>
          </w:tcPr>
          <w:p w14:paraId="6349F4AC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Alte activită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 xml:space="preserve">i: </w:t>
            </w:r>
          </w:p>
        </w:tc>
        <w:tc>
          <w:tcPr>
            <w:tcW w:w="651" w:type="dxa"/>
            <w:shd w:val="clear" w:color="auto" w:fill="auto"/>
          </w:tcPr>
          <w:p w14:paraId="273C44ED" w14:textId="683DAE0B" w:rsidR="005F51A0" w:rsidRPr="006E6D2D" w:rsidRDefault="00EA7E9B" w:rsidP="00951D76">
            <w:pPr>
              <w:contextualSpacing/>
              <w:jc w:val="center"/>
              <w:rPr>
                <w:noProof/>
                <w:color w:val="000000"/>
                <w:lang w:val="ro-RO"/>
              </w:rPr>
            </w:pPr>
            <w:r>
              <w:rPr>
                <w:noProof/>
                <w:color w:val="000000"/>
                <w:lang w:val="ro-RO"/>
              </w:rPr>
              <w:t>0</w:t>
            </w:r>
          </w:p>
        </w:tc>
      </w:tr>
      <w:tr w:rsidR="005F51A0" w:rsidRPr="006E6D2D" w14:paraId="18EC366A" w14:textId="77777777" w:rsidTr="00951D76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2DB7C82B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3.7. Total ore studiu individual</w:t>
            </w:r>
          </w:p>
        </w:tc>
        <w:tc>
          <w:tcPr>
            <w:tcW w:w="817" w:type="dxa"/>
            <w:shd w:val="clear" w:color="auto" w:fill="auto"/>
          </w:tcPr>
          <w:p w14:paraId="7E86EAD7" w14:textId="6B14F6E5" w:rsidR="005F51A0" w:rsidRPr="006E6D2D" w:rsidRDefault="00914EE9" w:rsidP="00951D76">
            <w:pPr>
              <w:contextualSpacing/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47</w:t>
            </w:r>
          </w:p>
        </w:tc>
      </w:tr>
      <w:tr w:rsidR="00951D76" w:rsidRPr="006E6D2D" w14:paraId="663B367D" w14:textId="77777777" w:rsidTr="00951D76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38F0412C" w14:textId="77777777" w:rsidR="00951D76" w:rsidRPr="006E6D2D" w:rsidRDefault="00951D76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3.8. Total ore pe semestru</w:t>
            </w:r>
          </w:p>
        </w:tc>
        <w:tc>
          <w:tcPr>
            <w:tcW w:w="817" w:type="dxa"/>
            <w:shd w:val="clear" w:color="auto" w:fill="auto"/>
          </w:tcPr>
          <w:p w14:paraId="74010574" w14:textId="5B0A23FD" w:rsidR="00951D76" w:rsidRPr="006E6D2D" w:rsidRDefault="00914EE9" w:rsidP="00951D76">
            <w:pPr>
              <w:contextualSpacing/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75</w:t>
            </w:r>
          </w:p>
        </w:tc>
      </w:tr>
      <w:tr w:rsidR="005F51A0" w:rsidRPr="006E6D2D" w14:paraId="7FC58EB9" w14:textId="77777777" w:rsidTr="00951D76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08A6434A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3.9. Numărul de puncte de credit</w:t>
            </w:r>
          </w:p>
        </w:tc>
        <w:tc>
          <w:tcPr>
            <w:tcW w:w="817" w:type="dxa"/>
            <w:shd w:val="clear" w:color="auto" w:fill="auto"/>
          </w:tcPr>
          <w:p w14:paraId="6D70143E" w14:textId="33F9C6D1" w:rsidR="005F51A0" w:rsidRPr="006E6D2D" w:rsidRDefault="00EA7E9B" w:rsidP="00951D76">
            <w:pPr>
              <w:contextualSpacing/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3</w:t>
            </w:r>
          </w:p>
        </w:tc>
      </w:tr>
    </w:tbl>
    <w:p w14:paraId="59014751" w14:textId="77777777" w:rsidR="008027E9" w:rsidRPr="006E6D2D" w:rsidRDefault="008027E9" w:rsidP="00951D76">
      <w:pPr>
        <w:contextualSpacing/>
        <w:rPr>
          <w:noProof/>
          <w:lang w:val="ro-RO"/>
        </w:rPr>
      </w:pPr>
    </w:p>
    <w:p w14:paraId="2119CEDC" w14:textId="77777777" w:rsidR="008027E9" w:rsidRPr="006E6D2D" w:rsidRDefault="008027E9" w:rsidP="00951D76">
      <w:pPr>
        <w:contextualSpacing/>
        <w:rPr>
          <w:noProof/>
          <w:lang w:val="ro-RO"/>
        </w:rPr>
      </w:pPr>
      <w:r w:rsidRPr="006E6D2D">
        <w:rPr>
          <w:b/>
          <w:noProof/>
          <w:lang w:val="ro-RO"/>
        </w:rPr>
        <w:t>4. Precondi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 xml:space="preserve">ii </w:t>
      </w:r>
      <w:r w:rsidRPr="006E6D2D">
        <w:rPr>
          <w:noProof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1"/>
        <w:gridCol w:w="6535"/>
      </w:tblGrid>
      <w:tr w:rsidR="005F51A0" w:rsidRPr="006E6D2D" w14:paraId="026AD6DA" w14:textId="77777777" w:rsidTr="00951D76">
        <w:tc>
          <w:tcPr>
            <w:tcW w:w="3888" w:type="dxa"/>
          </w:tcPr>
          <w:p w14:paraId="76219EFE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4.1. de curriculum</w:t>
            </w:r>
          </w:p>
        </w:tc>
        <w:tc>
          <w:tcPr>
            <w:tcW w:w="6480" w:type="dxa"/>
          </w:tcPr>
          <w:p w14:paraId="02DD64A6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</w:p>
        </w:tc>
      </w:tr>
      <w:tr w:rsidR="005F51A0" w:rsidRPr="006E6D2D" w14:paraId="6B437EF8" w14:textId="77777777" w:rsidTr="00951D76">
        <w:tc>
          <w:tcPr>
            <w:tcW w:w="3888" w:type="dxa"/>
          </w:tcPr>
          <w:p w14:paraId="57C1128F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4.2. de competen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e</w:t>
            </w:r>
          </w:p>
        </w:tc>
        <w:tc>
          <w:tcPr>
            <w:tcW w:w="6480" w:type="dxa"/>
          </w:tcPr>
          <w:p w14:paraId="24F1CC9E" w14:textId="77777777" w:rsidR="005F51A0" w:rsidRPr="006E6D2D" w:rsidRDefault="005F51A0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Nivel B2 /C1 al competen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elor de limbă străină.</w:t>
            </w:r>
          </w:p>
        </w:tc>
      </w:tr>
    </w:tbl>
    <w:p w14:paraId="176AEB6E" w14:textId="77777777" w:rsidR="009D4FD8" w:rsidRPr="006E6D2D" w:rsidRDefault="009D4FD8" w:rsidP="00951D76">
      <w:pPr>
        <w:contextualSpacing/>
        <w:rPr>
          <w:b/>
          <w:noProof/>
          <w:lang w:val="ro-RO"/>
        </w:rPr>
      </w:pPr>
    </w:p>
    <w:p w14:paraId="7BD68DD5" w14:textId="77777777" w:rsidR="008027E9" w:rsidRPr="006E6D2D" w:rsidRDefault="008027E9" w:rsidP="00951D76">
      <w:pPr>
        <w:contextualSpacing/>
        <w:rPr>
          <w:noProof/>
          <w:lang w:val="ro-RO"/>
        </w:rPr>
      </w:pPr>
      <w:r w:rsidRPr="006E6D2D">
        <w:rPr>
          <w:b/>
          <w:noProof/>
          <w:lang w:val="ro-RO"/>
        </w:rPr>
        <w:t>5. Condi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ii</w:t>
      </w:r>
      <w:r w:rsidRPr="006E6D2D">
        <w:rPr>
          <w:noProof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9"/>
        <w:gridCol w:w="6527"/>
      </w:tblGrid>
      <w:tr w:rsidR="008027E9" w:rsidRPr="001A5A0F" w14:paraId="6C98C1FB" w14:textId="77777777" w:rsidTr="00F07553">
        <w:tc>
          <w:tcPr>
            <w:tcW w:w="3929" w:type="dxa"/>
          </w:tcPr>
          <w:p w14:paraId="710C3164" w14:textId="77777777" w:rsidR="008027E9" w:rsidRPr="006E6D2D" w:rsidRDefault="008027E9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5.1</w:t>
            </w:r>
            <w:r w:rsidR="00BF122D" w:rsidRPr="006E6D2D">
              <w:rPr>
                <w:noProof/>
                <w:lang w:val="ro-RO"/>
              </w:rPr>
              <w:t>.</w:t>
            </w:r>
            <w:r w:rsidR="00392608" w:rsidRPr="006E6D2D">
              <w:rPr>
                <w:noProof/>
                <w:lang w:val="ro-RO"/>
              </w:rPr>
              <w:t xml:space="preserve"> </w:t>
            </w:r>
            <w:r w:rsidRPr="006E6D2D">
              <w:rPr>
                <w:noProof/>
                <w:lang w:val="ro-RO"/>
              </w:rPr>
              <w:t xml:space="preserve">De </w:t>
            </w:r>
            <w:r w:rsidR="00392608" w:rsidRPr="006E6D2D">
              <w:rPr>
                <w:noProof/>
                <w:lang w:val="ro-RO"/>
              </w:rPr>
              <w:t>desfă</w:t>
            </w:r>
            <w:r w:rsidR="00217BE4" w:rsidRPr="006E6D2D">
              <w:rPr>
                <w:noProof/>
                <w:lang w:val="ro-RO"/>
              </w:rPr>
              <w:t>ș</w:t>
            </w:r>
            <w:r w:rsidR="00392608" w:rsidRPr="006E6D2D">
              <w:rPr>
                <w:noProof/>
                <w:lang w:val="ro-RO"/>
              </w:rPr>
              <w:t>urare</w:t>
            </w:r>
            <w:r w:rsidRPr="006E6D2D">
              <w:rPr>
                <w:noProof/>
                <w:lang w:val="ro-RO"/>
              </w:rPr>
              <w:t xml:space="preserve"> a cursului</w:t>
            </w:r>
          </w:p>
        </w:tc>
        <w:tc>
          <w:tcPr>
            <w:tcW w:w="6527" w:type="dxa"/>
          </w:tcPr>
          <w:p w14:paraId="7BCFC3D5" w14:textId="339FCD4E" w:rsidR="008027E9" w:rsidRPr="006E6D2D" w:rsidRDefault="00951D76" w:rsidP="00951D76">
            <w:pPr>
              <w:contextualSpacing/>
              <w:rPr>
                <w:noProof/>
                <w:lang w:val="ro-RO"/>
              </w:rPr>
            </w:pPr>
            <w:r w:rsidRPr="006E6D2D">
              <w:rPr>
                <w:bCs/>
                <w:iCs/>
                <w:noProof/>
                <w:lang w:val="ro-RO"/>
              </w:rPr>
              <w:t xml:space="preserve">Sală </w:t>
            </w:r>
            <w:r w:rsidRPr="006E6D2D">
              <w:rPr>
                <w:rFonts w:eastAsia="Times New Roman"/>
                <w:noProof/>
                <w:lang w:val="ro-RO"/>
              </w:rPr>
              <w:t xml:space="preserve"> cu echipament IT</w:t>
            </w:r>
            <w:r w:rsidRPr="006E6D2D">
              <w:rPr>
                <w:bCs/>
                <w:iCs/>
                <w:noProof/>
                <w:lang w:val="ro-RO"/>
              </w:rPr>
              <w:t>, videoproiector</w:t>
            </w:r>
            <w:r w:rsidR="00F07553">
              <w:rPr>
                <w:bCs/>
                <w:iCs/>
                <w:noProof/>
                <w:lang w:val="ro-RO"/>
              </w:rPr>
              <w:t>, tablă.</w:t>
            </w:r>
          </w:p>
        </w:tc>
      </w:tr>
      <w:tr w:rsidR="00F07553" w:rsidRPr="001A5A0F" w14:paraId="7DE338A5" w14:textId="77777777" w:rsidTr="00F07553">
        <w:tc>
          <w:tcPr>
            <w:tcW w:w="3929" w:type="dxa"/>
          </w:tcPr>
          <w:p w14:paraId="3B56A0E9" w14:textId="77777777" w:rsidR="00F07553" w:rsidRPr="006E6D2D" w:rsidRDefault="00F07553" w:rsidP="00F07553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5.2. De desfășurare a seminarului</w:t>
            </w:r>
          </w:p>
        </w:tc>
        <w:tc>
          <w:tcPr>
            <w:tcW w:w="6527" w:type="dxa"/>
          </w:tcPr>
          <w:p w14:paraId="0567E5B0" w14:textId="561F0EE5" w:rsidR="00F07553" w:rsidRPr="006E6D2D" w:rsidRDefault="00F07553" w:rsidP="00F07553">
            <w:pPr>
              <w:contextualSpacing/>
              <w:rPr>
                <w:noProof/>
                <w:lang w:val="ro-RO"/>
              </w:rPr>
            </w:pPr>
            <w:r w:rsidRPr="006E6D2D">
              <w:rPr>
                <w:bCs/>
                <w:iCs/>
                <w:noProof/>
                <w:lang w:val="ro-RO"/>
              </w:rPr>
              <w:t xml:space="preserve">Sală </w:t>
            </w:r>
            <w:r w:rsidRPr="006E6D2D">
              <w:rPr>
                <w:rFonts w:eastAsia="Times New Roman"/>
                <w:noProof/>
                <w:lang w:val="ro-RO"/>
              </w:rPr>
              <w:t xml:space="preserve"> cu echipament IT</w:t>
            </w:r>
            <w:r w:rsidRPr="006E6D2D">
              <w:rPr>
                <w:bCs/>
                <w:iCs/>
                <w:noProof/>
                <w:lang w:val="ro-RO"/>
              </w:rPr>
              <w:t>, videoproiector</w:t>
            </w:r>
            <w:r>
              <w:rPr>
                <w:bCs/>
                <w:iCs/>
                <w:noProof/>
                <w:lang w:val="ro-RO"/>
              </w:rPr>
              <w:t>, tablă.</w:t>
            </w:r>
          </w:p>
        </w:tc>
      </w:tr>
    </w:tbl>
    <w:p w14:paraId="13D88D79" w14:textId="77777777" w:rsidR="00F07553" w:rsidRDefault="00F07553" w:rsidP="00951D76">
      <w:pPr>
        <w:contextualSpacing/>
        <w:rPr>
          <w:b/>
          <w:noProof/>
          <w:lang w:val="ro-RO"/>
        </w:rPr>
      </w:pPr>
    </w:p>
    <w:p w14:paraId="72AE9557" w14:textId="79282320" w:rsidR="008027E9" w:rsidRPr="006E6D2D" w:rsidRDefault="008027E9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6. Competen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ele specifice acumulate</w:t>
      </w:r>
    </w:p>
    <w:tbl>
      <w:tblPr>
        <w:tblW w:w="10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9854"/>
      </w:tblGrid>
      <w:tr w:rsidR="008027E9" w:rsidRPr="003A0D1E" w14:paraId="2C93D5B8" w14:textId="77777777" w:rsidTr="003B5729">
        <w:trPr>
          <w:cantSplit/>
          <w:trHeight w:val="20"/>
        </w:trPr>
        <w:tc>
          <w:tcPr>
            <w:tcW w:w="715" w:type="dxa"/>
            <w:shd w:val="clear" w:color="auto" w:fill="auto"/>
            <w:textDirection w:val="btLr"/>
            <w:vAlign w:val="center"/>
          </w:tcPr>
          <w:p w14:paraId="2EA411B5" w14:textId="77777777" w:rsidR="008027E9" w:rsidRPr="003A0D1E" w:rsidRDefault="008027E9" w:rsidP="00951D76">
            <w:pPr>
              <w:ind w:left="113" w:right="113"/>
              <w:contextualSpacing/>
              <w:jc w:val="center"/>
              <w:rPr>
                <w:b/>
                <w:lang w:val="ro-RO"/>
              </w:rPr>
            </w:pPr>
            <w:r w:rsidRPr="003A0D1E">
              <w:rPr>
                <w:b/>
                <w:lang w:val="ro-RO"/>
              </w:rPr>
              <w:t>Competen</w:t>
            </w:r>
            <w:r w:rsidR="00217BE4" w:rsidRPr="003A0D1E">
              <w:rPr>
                <w:b/>
                <w:lang w:val="ro-RO"/>
              </w:rPr>
              <w:t>ț</w:t>
            </w:r>
            <w:r w:rsidRPr="003A0D1E">
              <w:rPr>
                <w:b/>
                <w:lang w:val="ro-RO"/>
              </w:rPr>
              <w:t>e</w:t>
            </w:r>
            <w:r w:rsidR="00951D76" w:rsidRPr="003A0D1E">
              <w:rPr>
                <w:b/>
                <w:lang w:val="ro-RO"/>
              </w:rPr>
              <w:t xml:space="preserve"> </w:t>
            </w:r>
            <w:r w:rsidRPr="003A0D1E">
              <w:rPr>
                <w:b/>
                <w:lang w:val="ro-RO"/>
              </w:rPr>
              <w:t>profesionale</w:t>
            </w:r>
          </w:p>
        </w:tc>
        <w:tc>
          <w:tcPr>
            <w:tcW w:w="9854" w:type="dxa"/>
            <w:shd w:val="clear" w:color="auto" w:fill="auto"/>
          </w:tcPr>
          <w:p w14:paraId="123FCEB7" w14:textId="787F727F" w:rsidR="003A0D1E" w:rsidRPr="003B5729" w:rsidRDefault="003A0D1E" w:rsidP="003A0D1E">
            <w:pPr>
              <w:contextualSpacing/>
              <w:rPr>
                <w:lang w:val="ro-RO"/>
              </w:rPr>
            </w:pPr>
            <w:r w:rsidRPr="003B5729">
              <w:rPr>
                <w:lang w:val="ro-RO"/>
              </w:rPr>
              <w:t xml:space="preserve">C1. Comunicare efectivă în limba A și </w:t>
            </w:r>
            <w:r w:rsidR="003B5729" w:rsidRPr="003B5729">
              <w:rPr>
                <w:lang w:val="ro-RO"/>
              </w:rPr>
              <w:t>B (nivel B2/C1)</w:t>
            </w:r>
            <w:r w:rsidRPr="003B5729">
              <w:rPr>
                <w:lang w:val="ro-RO"/>
              </w:rPr>
              <w:t>, într-un cadru larg de contexte profesionale și culturale, prin utilizarea registrelor și variantelor lingvistice specifice în vorbire și scriere</w:t>
            </w:r>
            <w:r w:rsidR="003B5729" w:rsidRPr="003B5729">
              <w:rPr>
                <w:lang w:val="ro-RO"/>
              </w:rPr>
              <w:t>.</w:t>
            </w:r>
          </w:p>
          <w:p w14:paraId="67482431" w14:textId="152D9BDF" w:rsidR="005F51A0" w:rsidRPr="003B5729" w:rsidRDefault="005F51A0" w:rsidP="00951D76">
            <w:pPr>
              <w:pStyle w:val="BodyText"/>
              <w:tabs>
                <w:tab w:val="left" w:pos="425"/>
              </w:tabs>
              <w:ind w:right="141"/>
              <w:contextualSpacing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3B5729">
              <w:rPr>
                <w:rFonts w:ascii="Times New Roman" w:hAnsi="Times New Roman"/>
                <w:szCs w:val="24"/>
                <w:lang w:val="ro-RO"/>
              </w:rPr>
              <w:t>C2. Aplicarea adecvată a tehnicilor de traducere</w:t>
            </w:r>
            <w:r w:rsidR="003B5729" w:rsidRPr="003B5729">
              <w:rPr>
                <w:rFonts w:ascii="Times New Roman" w:hAnsi="Times New Roman"/>
                <w:szCs w:val="24"/>
                <w:lang w:val="ro-RO"/>
              </w:rPr>
              <w:t>/subtitrare</w:t>
            </w:r>
            <w:r w:rsidRPr="003B5729">
              <w:rPr>
                <w:rFonts w:ascii="Times New Roman" w:hAnsi="Times New Roman"/>
                <w:szCs w:val="24"/>
                <w:lang w:val="ro-RO"/>
              </w:rPr>
              <w:t xml:space="preserve"> din limb</w:t>
            </w:r>
            <w:r w:rsidR="003B5729">
              <w:rPr>
                <w:rFonts w:ascii="Times New Roman" w:hAnsi="Times New Roman"/>
                <w:szCs w:val="24"/>
                <w:lang w:val="ro-RO"/>
              </w:rPr>
              <w:t>a engleză</w:t>
            </w:r>
            <w:r w:rsidRPr="003B5729">
              <w:rPr>
                <w:rFonts w:ascii="Times New Roman" w:hAnsi="Times New Roman"/>
                <w:szCs w:val="24"/>
                <w:lang w:val="ro-RO"/>
              </w:rPr>
              <w:t xml:space="preserve">  în limba </w:t>
            </w:r>
            <w:r w:rsidR="003B5729">
              <w:rPr>
                <w:rFonts w:ascii="Times New Roman" w:hAnsi="Times New Roman"/>
                <w:szCs w:val="24"/>
                <w:lang w:val="ro-RO"/>
              </w:rPr>
              <w:t>maghiară</w:t>
            </w:r>
            <w:r w:rsidRPr="003B5729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  <w:r w:rsidR="00217BE4" w:rsidRPr="003B5729">
              <w:rPr>
                <w:rFonts w:ascii="Times New Roman" w:hAnsi="Times New Roman"/>
                <w:szCs w:val="24"/>
                <w:lang w:val="ro-RO"/>
              </w:rPr>
              <w:t>ș</w:t>
            </w:r>
            <w:r w:rsidRPr="003B5729">
              <w:rPr>
                <w:rFonts w:ascii="Times New Roman" w:hAnsi="Times New Roman"/>
                <w:szCs w:val="24"/>
                <w:lang w:val="ro-RO"/>
              </w:rPr>
              <w:t>i retur în domeniul traducerilor audiovizuale.</w:t>
            </w:r>
          </w:p>
          <w:p w14:paraId="55A16B07" w14:textId="4B48EFEF" w:rsidR="00666848" w:rsidRPr="003A0D1E" w:rsidRDefault="005F51A0" w:rsidP="00951D76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3B5729">
              <w:rPr>
                <w:rFonts w:ascii="Times New Roman" w:hAnsi="Times New Roman"/>
                <w:szCs w:val="24"/>
                <w:lang w:val="ro-RO"/>
              </w:rPr>
              <w:t xml:space="preserve">C3. </w:t>
            </w:r>
            <w:r w:rsidR="003B5729" w:rsidRPr="003B5729">
              <w:rPr>
                <w:rFonts w:ascii="Times New Roman" w:hAnsi="Times New Roman"/>
                <w:szCs w:val="24"/>
                <w:lang w:val="ro-RO"/>
              </w:rPr>
              <w:t>A</w:t>
            </w:r>
            <w:r w:rsidRPr="003B5729">
              <w:rPr>
                <w:rFonts w:ascii="Times New Roman" w:hAnsi="Times New Roman"/>
                <w:szCs w:val="24"/>
                <w:lang w:val="ro-RO"/>
              </w:rPr>
              <w:t>plicarea adecvată a tehnicilor generale de documentare, căutare, clasificare</w:t>
            </w:r>
            <w:r w:rsidR="003B5729">
              <w:rPr>
                <w:rFonts w:ascii="Times New Roman" w:hAnsi="Times New Roman"/>
                <w:szCs w:val="24"/>
                <w:lang w:val="ro-RO"/>
              </w:rPr>
              <w:t>, s</w:t>
            </w:r>
            <w:r w:rsidRPr="003B5729">
              <w:rPr>
                <w:rFonts w:ascii="Times New Roman" w:hAnsi="Times New Roman"/>
                <w:szCs w:val="24"/>
                <w:lang w:val="ro-RO"/>
              </w:rPr>
              <w:t>tocare</w:t>
            </w:r>
            <w:r w:rsidR="003B5729">
              <w:rPr>
                <w:rFonts w:ascii="Times New Roman" w:hAnsi="Times New Roman"/>
                <w:szCs w:val="24"/>
                <w:lang w:val="ro-RO"/>
              </w:rPr>
              <w:t xml:space="preserve"> și arhivare</w:t>
            </w:r>
            <w:r w:rsidRPr="003B5729">
              <w:rPr>
                <w:rFonts w:ascii="Times New Roman" w:hAnsi="Times New Roman"/>
                <w:szCs w:val="24"/>
                <w:lang w:val="ro-RO"/>
              </w:rPr>
              <w:t xml:space="preserve"> a informa</w:t>
            </w:r>
            <w:r w:rsidR="00217BE4" w:rsidRPr="003B5729">
              <w:rPr>
                <w:rFonts w:ascii="Times New Roman" w:hAnsi="Times New Roman"/>
                <w:szCs w:val="24"/>
                <w:lang w:val="ro-RO"/>
              </w:rPr>
              <w:t>ț</w:t>
            </w:r>
            <w:r w:rsidRPr="003B5729">
              <w:rPr>
                <w:rFonts w:ascii="Times New Roman" w:hAnsi="Times New Roman"/>
                <w:szCs w:val="24"/>
                <w:lang w:val="ro-RO"/>
              </w:rPr>
              <w:t>iei, folosirea programelor informatice (dic</w:t>
            </w:r>
            <w:r w:rsidR="00217BE4" w:rsidRPr="003B5729">
              <w:rPr>
                <w:rFonts w:ascii="Times New Roman" w:hAnsi="Times New Roman"/>
                <w:szCs w:val="24"/>
                <w:lang w:val="ro-RO"/>
              </w:rPr>
              <w:t>ț</w:t>
            </w:r>
            <w:r w:rsidRPr="003B5729">
              <w:rPr>
                <w:rFonts w:ascii="Times New Roman" w:hAnsi="Times New Roman"/>
                <w:szCs w:val="24"/>
                <w:lang w:val="ro-RO"/>
              </w:rPr>
              <w:t>ionare electronice, baze de date)</w:t>
            </w:r>
            <w:r w:rsidR="003B5729">
              <w:rPr>
                <w:rFonts w:ascii="Times New Roman" w:hAnsi="Times New Roman"/>
                <w:szCs w:val="24"/>
                <w:lang w:val="ro-RO"/>
              </w:rPr>
              <w:t>, tehnoredactarea subtitrărilor (</w:t>
            </w:r>
            <w:r w:rsidR="003B5729">
              <w:rPr>
                <w:rFonts w:ascii="Times New Roman" w:hAnsi="Times New Roman"/>
                <w:i/>
                <w:iCs/>
                <w:szCs w:val="24"/>
                <w:lang w:val="ro-RO"/>
              </w:rPr>
              <w:t>SubEdit, memoQ</w:t>
            </w:r>
            <w:r w:rsidR="00BC11A1">
              <w:rPr>
                <w:rFonts w:ascii="Times New Roman" w:hAnsi="Times New Roman"/>
                <w:i/>
                <w:iCs/>
                <w:szCs w:val="24"/>
                <w:lang w:val="ro-RO"/>
              </w:rPr>
              <w:t>, SDL Trados</w:t>
            </w:r>
            <w:r w:rsidR="003B5729">
              <w:rPr>
                <w:rFonts w:ascii="Times New Roman" w:hAnsi="Times New Roman"/>
                <w:szCs w:val="24"/>
                <w:lang w:val="ro-RO"/>
              </w:rPr>
              <w:t xml:space="preserve">), inclusiv </w:t>
            </w:r>
            <w:r w:rsidRPr="003B5729">
              <w:rPr>
                <w:rFonts w:ascii="Times New Roman" w:hAnsi="Times New Roman"/>
                <w:szCs w:val="24"/>
                <w:lang w:val="ro-RO"/>
              </w:rPr>
              <w:t>corectur</w:t>
            </w:r>
            <w:r w:rsidR="003B5729">
              <w:rPr>
                <w:rFonts w:ascii="Times New Roman" w:hAnsi="Times New Roman"/>
                <w:szCs w:val="24"/>
                <w:lang w:val="ro-RO"/>
              </w:rPr>
              <w:t>a</w:t>
            </w:r>
            <w:r w:rsidRPr="003B5729">
              <w:rPr>
                <w:rFonts w:ascii="Times New Roman" w:hAnsi="Times New Roman"/>
                <w:szCs w:val="24"/>
                <w:lang w:val="ro-RO"/>
              </w:rPr>
              <w:t xml:space="preserve"> de texte</w:t>
            </w:r>
            <w:r w:rsidR="003B5729">
              <w:rPr>
                <w:rFonts w:ascii="Times New Roman" w:hAnsi="Times New Roman"/>
                <w:szCs w:val="24"/>
                <w:lang w:val="ro-RO"/>
              </w:rPr>
              <w:t>.</w:t>
            </w:r>
          </w:p>
        </w:tc>
      </w:tr>
      <w:tr w:rsidR="003A0D1E" w:rsidRPr="003A0D1E" w14:paraId="58CEA256" w14:textId="77777777" w:rsidTr="003B5729">
        <w:trPr>
          <w:cantSplit/>
          <w:trHeight w:val="20"/>
        </w:trPr>
        <w:tc>
          <w:tcPr>
            <w:tcW w:w="715" w:type="dxa"/>
            <w:shd w:val="clear" w:color="auto" w:fill="auto"/>
            <w:textDirection w:val="btLr"/>
          </w:tcPr>
          <w:p w14:paraId="3E7AB615" w14:textId="77777777" w:rsidR="003A0D1E" w:rsidRPr="003A0D1E" w:rsidRDefault="003A0D1E" w:rsidP="003A0D1E">
            <w:pPr>
              <w:ind w:left="113" w:right="113"/>
              <w:contextualSpacing/>
              <w:rPr>
                <w:b/>
                <w:lang w:val="ro-RO"/>
              </w:rPr>
            </w:pPr>
            <w:r w:rsidRPr="003A0D1E">
              <w:rPr>
                <w:b/>
                <w:lang w:val="ro-RO"/>
              </w:rPr>
              <w:lastRenderedPageBreak/>
              <w:t>Competențe transversale</w:t>
            </w:r>
          </w:p>
        </w:tc>
        <w:tc>
          <w:tcPr>
            <w:tcW w:w="9854" w:type="dxa"/>
            <w:shd w:val="clear" w:color="auto" w:fill="auto"/>
          </w:tcPr>
          <w:p w14:paraId="50F75553" w14:textId="46EBEB0F" w:rsidR="003A0D1E" w:rsidRPr="003A0D1E" w:rsidRDefault="003A0D1E" w:rsidP="003A0D1E">
            <w:pPr>
              <w:rPr>
                <w:lang w:val="ro-RO"/>
              </w:rPr>
            </w:pPr>
            <w:r w:rsidRPr="003A0D1E">
              <w:rPr>
                <w:lang w:val="ro-RO"/>
              </w:rPr>
              <w:t>CT1. Gestionarea optimă a sarcinilor profesionale și deprinderea executării lor la termen, în mod riguros, eficient și responsabil; Respectarea normelor de etică specifice domeniului (ex: confidențialitate).</w:t>
            </w:r>
          </w:p>
          <w:p w14:paraId="3B912838" w14:textId="77777777" w:rsidR="003A0D1E" w:rsidRPr="003A0D1E" w:rsidRDefault="003A0D1E" w:rsidP="003A0D1E">
            <w:pPr>
              <w:rPr>
                <w:lang w:val="ro-RO"/>
              </w:rPr>
            </w:pPr>
            <w:r w:rsidRPr="003A0D1E">
              <w:rPr>
                <w:lang w:val="ro-RO"/>
              </w:rPr>
              <w:t>CT2. Aplicarea tehnicilor de relaționare în echipă; dezvoltarea capacităților empatice de comunicare interpersonală și de asumare de roluri specifice în cadrul muncii în echipă având drept scop eficientizarea activității grupului și economisirea resurselor, inclusiv a celor umane</w:t>
            </w:r>
          </w:p>
          <w:p w14:paraId="2B9A4826" w14:textId="60E18659" w:rsidR="003A0D1E" w:rsidRPr="003A0D1E" w:rsidRDefault="003A0D1E" w:rsidP="003A0D1E">
            <w:pPr>
              <w:rPr>
                <w:lang w:val="ro-RO"/>
              </w:rPr>
            </w:pPr>
            <w:r w:rsidRPr="003A0D1E">
              <w:rPr>
                <w:lang w:val="ro-RO"/>
              </w:rPr>
              <w:t>CT3. Identificarea și utilizarea unor metode și tehnici eficiente de învățare; conștientizarea motivațiilor extrinseci și intrinseci ale învățării continue.</w:t>
            </w:r>
          </w:p>
        </w:tc>
      </w:tr>
    </w:tbl>
    <w:p w14:paraId="0A36907E" w14:textId="77777777" w:rsidR="00BF122D" w:rsidRPr="006E6D2D" w:rsidRDefault="00BF122D" w:rsidP="00951D76">
      <w:pPr>
        <w:contextualSpacing/>
        <w:rPr>
          <w:b/>
          <w:noProof/>
          <w:lang w:val="ro-RO"/>
        </w:rPr>
      </w:pPr>
    </w:p>
    <w:p w14:paraId="6A51DDAE" w14:textId="77777777" w:rsidR="008027E9" w:rsidRPr="006E6D2D" w:rsidRDefault="008027E9" w:rsidP="00951D76">
      <w:pPr>
        <w:contextualSpacing/>
        <w:rPr>
          <w:noProof/>
          <w:lang w:val="ro-RO"/>
        </w:rPr>
      </w:pPr>
      <w:r w:rsidRPr="006E6D2D">
        <w:rPr>
          <w:b/>
          <w:noProof/>
          <w:lang w:val="ro-RO"/>
        </w:rPr>
        <w:t>7. Obiectivele disciplinei</w:t>
      </w:r>
      <w:r w:rsidRPr="006E6D2D">
        <w:rPr>
          <w:noProof/>
          <w:lang w:val="ro-RO"/>
        </w:rPr>
        <w:t xml:space="preserve"> (reie</w:t>
      </w:r>
      <w:r w:rsidR="00217BE4" w:rsidRPr="006E6D2D">
        <w:rPr>
          <w:noProof/>
          <w:lang w:val="ro-RO"/>
        </w:rPr>
        <w:t>ș</w:t>
      </w:r>
      <w:r w:rsidRPr="006E6D2D">
        <w:rPr>
          <w:noProof/>
          <w:lang w:val="ro-RO"/>
        </w:rPr>
        <w:t>ind din grila competen</w:t>
      </w:r>
      <w:r w:rsidR="00217BE4" w:rsidRPr="006E6D2D">
        <w:rPr>
          <w:noProof/>
          <w:lang w:val="ro-RO"/>
        </w:rPr>
        <w:t>ț</w:t>
      </w:r>
      <w:r w:rsidRPr="006E6D2D">
        <w:rPr>
          <w:noProof/>
          <w:lang w:val="ro-RO"/>
        </w:rPr>
        <w:t>elor acumulate)</w:t>
      </w:r>
    </w:p>
    <w:tbl>
      <w:tblPr>
        <w:tblpPr w:leftFromText="187" w:rightFromText="187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8340"/>
      </w:tblGrid>
      <w:tr w:rsidR="00F07553" w:rsidRPr="00F07553" w14:paraId="70AFCBB4" w14:textId="77777777" w:rsidTr="003A0D1E">
        <w:tc>
          <w:tcPr>
            <w:tcW w:w="0" w:type="auto"/>
            <w:shd w:val="clear" w:color="auto" w:fill="auto"/>
          </w:tcPr>
          <w:p w14:paraId="61B246FB" w14:textId="77777777" w:rsidR="008027E9" w:rsidRPr="00F07553" w:rsidRDefault="008027E9" w:rsidP="00044C4E">
            <w:pPr>
              <w:contextualSpacing/>
              <w:rPr>
                <w:lang w:val="ro-RO"/>
              </w:rPr>
            </w:pPr>
            <w:r w:rsidRPr="00F07553">
              <w:rPr>
                <w:lang w:val="ro-RO"/>
              </w:rPr>
              <w:t>7.1</w:t>
            </w:r>
            <w:r w:rsidR="00E3215E" w:rsidRPr="00F07553">
              <w:rPr>
                <w:lang w:val="ro-RO"/>
              </w:rPr>
              <w:t>.</w:t>
            </w:r>
            <w:r w:rsidRPr="00F07553">
              <w:rPr>
                <w:lang w:val="ro-RO"/>
              </w:rPr>
              <w:t xml:space="preserve"> Obiectivul general al disciplinei</w:t>
            </w:r>
          </w:p>
        </w:tc>
        <w:tc>
          <w:tcPr>
            <w:tcW w:w="0" w:type="auto"/>
            <w:shd w:val="clear" w:color="auto" w:fill="auto"/>
          </w:tcPr>
          <w:p w14:paraId="0F5A052C" w14:textId="60E3BE54" w:rsidR="005F51A0" w:rsidRPr="00F07553" w:rsidRDefault="005F51A0" w:rsidP="003A0D1E">
            <w:pPr>
              <w:rPr>
                <w:lang w:val="ro-RO"/>
              </w:rPr>
            </w:pPr>
            <w:r w:rsidRPr="00F07553">
              <w:rPr>
                <w:lang w:val="ro-RO"/>
              </w:rPr>
              <w:t>Formarea competen</w:t>
            </w:r>
            <w:r w:rsidR="00217BE4" w:rsidRPr="00F07553">
              <w:rPr>
                <w:lang w:val="ro-RO"/>
              </w:rPr>
              <w:t>ț</w:t>
            </w:r>
            <w:r w:rsidRPr="00F07553">
              <w:rPr>
                <w:lang w:val="ro-RO"/>
              </w:rPr>
              <w:t>ei de traducere a textelor de specialitate</w:t>
            </w:r>
            <w:r w:rsidR="00D8040B">
              <w:rPr>
                <w:lang w:val="ro-RO"/>
              </w:rPr>
              <w:t xml:space="preserve"> și de larg interes</w:t>
            </w:r>
            <w:r w:rsidRPr="00F07553">
              <w:rPr>
                <w:lang w:val="ro-RO"/>
              </w:rPr>
              <w:t xml:space="preserve"> în </w:t>
            </w:r>
            <w:r w:rsidR="00217BE4" w:rsidRPr="00F07553">
              <w:rPr>
                <w:lang w:val="ro-RO"/>
              </w:rPr>
              <w:t>ș</w:t>
            </w:r>
            <w:r w:rsidRPr="00F07553">
              <w:rPr>
                <w:lang w:val="ro-RO"/>
              </w:rPr>
              <w:t>i din limba engleză</w:t>
            </w:r>
            <w:r w:rsidR="00D8040B">
              <w:rPr>
                <w:lang w:val="ro-RO"/>
              </w:rPr>
              <w:t xml:space="preserve"> în domeniul audiovizualului</w:t>
            </w:r>
            <w:r w:rsidRPr="00F07553">
              <w:rPr>
                <w:lang w:val="ro-RO"/>
              </w:rPr>
              <w:t>;</w:t>
            </w:r>
          </w:p>
          <w:p w14:paraId="0AF83FAF" w14:textId="1623438C" w:rsidR="008027E9" w:rsidRPr="00F07553" w:rsidRDefault="005F51A0" w:rsidP="00D8040B">
            <w:pPr>
              <w:rPr>
                <w:lang w:val="ro-RO"/>
              </w:rPr>
            </w:pPr>
            <w:r w:rsidRPr="00F07553">
              <w:rPr>
                <w:lang w:val="ro-RO"/>
              </w:rPr>
              <w:t>Formarea capacită</w:t>
            </w:r>
            <w:r w:rsidR="00217BE4" w:rsidRPr="00F07553">
              <w:rPr>
                <w:lang w:val="ro-RO"/>
              </w:rPr>
              <w:t>ț</w:t>
            </w:r>
            <w:r w:rsidRPr="00F07553">
              <w:rPr>
                <w:lang w:val="ro-RO"/>
              </w:rPr>
              <w:t xml:space="preserve">ilor de analiză, </w:t>
            </w:r>
            <w:r w:rsidR="00D8040B">
              <w:rPr>
                <w:lang w:val="ro-RO"/>
              </w:rPr>
              <w:t xml:space="preserve">documentare, </w:t>
            </w:r>
            <w:r w:rsidRPr="00F07553">
              <w:rPr>
                <w:lang w:val="ro-RO"/>
              </w:rPr>
              <w:t xml:space="preserve">transfer </w:t>
            </w:r>
            <w:r w:rsidR="00217BE4" w:rsidRPr="00F07553">
              <w:rPr>
                <w:lang w:val="ro-RO"/>
              </w:rPr>
              <w:t>ș</w:t>
            </w:r>
            <w:r w:rsidRPr="00F07553">
              <w:rPr>
                <w:lang w:val="ro-RO"/>
              </w:rPr>
              <w:t>i evaluare</w:t>
            </w:r>
            <w:r w:rsidR="00D8040B">
              <w:rPr>
                <w:lang w:val="ro-RO"/>
              </w:rPr>
              <w:t>.</w:t>
            </w:r>
          </w:p>
        </w:tc>
      </w:tr>
      <w:tr w:rsidR="00F07553" w:rsidRPr="00F07553" w14:paraId="1B93F478" w14:textId="77777777" w:rsidTr="003A0D1E">
        <w:tc>
          <w:tcPr>
            <w:tcW w:w="0" w:type="auto"/>
            <w:shd w:val="clear" w:color="auto" w:fill="auto"/>
          </w:tcPr>
          <w:p w14:paraId="23269BE6" w14:textId="77777777" w:rsidR="008027E9" w:rsidRPr="00F07553" w:rsidRDefault="008027E9" w:rsidP="00044C4E">
            <w:pPr>
              <w:contextualSpacing/>
              <w:rPr>
                <w:lang w:val="ro-RO"/>
              </w:rPr>
            </w:pPr>
            <w:r w:rsidRPr="00F07553">
              <w:rPr>
                <w:lang w:val="ro-RO"/>
              </w:rPr>
              <w:t>7.2</w:t>
            </w:r>
            <w:r w:rsidR="00E3215E" w:rsidRPr="00F07553">
              <w:rPr>
                <w:lang w:val="ro-RO"/>
              </w:rPr>
              <w:t>.</w:t>
            </w:r>
            <w:r w:rsidRPr="00F07553">
              <w:rPr>
                <w:lang w:val="ro-RO"/>
              </w:rPr>
              <w:t xml:space="preserve"> Obiectivele specifice</w:t>
            </w:r>
          </w:p>
        </w:tc>
        <w:tc>
          <w:tcPr>
            <w:tcW w:w="0" w:type="auto"/>
            <w:shd w:val="clear" w:color="auto" w:fill="auto"/>
          </w:tcPr>
          <w:p w14:paraId="100C37C8" w14:textId="1A34E6F0" w:rsidR="003A0D1E" w:rsidRPr="00D8040B" w:rsidRDefault="003A0D1E" w:rsidP="00D8040B">
            <w:pPr>
              <w:pStyle w:val="ListParagraph"/>
              <w:numPr>
                <w:ilvl w:val="0"/>
                <w:numId w:val="33"/>
              </w:numPr>
              <w:rPr>
                <w:rFonts w:eastAsia="Corbel"/>
                <w:shd w:val="clear" w:color="auto" w:fill="FFFFFF"/>
              </w:rPr>
            </w:pPr>
            <w:r w:rsidRPr="00F07553">
              <w:t>Evidențierea importanței aspectelor lingvistice și culturale în cadrul procesului traducer</w:t>
            </w:r>
            <w:r w:rsidR="00D8040B">
              <w:t>ii</w:t>
            </w:r>
            <w:r w:rsidRPr="00F07553">
              <w:t xml:space="preserve"> audiovizual</w:t>
            </w:r>
            <w:r w:rsidR="00D8040B">
              <w:t>e.</w:t>
            </w:r>
          </w:p>
          <w:p w14:paraId="513DDFDD" w14:textId="062B8B0E" w:rsidR="003A0D1E" w:rsidRPr="00D8040B" w:rsidRDefault="003A0D1E" w:rsidP="00D8040B">
            <w:pPr>
              <w:pStyle w:val="ListParagraph"/>
              <w:numPr>
                <w:ilvl w:val="0"/>
                <w:numId w:val="33"/>
              </w:numPr>
              <w:rPr>
                <w:rFonts w:eastAsia="Corbel"/>
                <w:shd w:val="clear" w:color="auto" w:fill="FFFFFF"/>
              </w:rPr>
            </w:pPr>
            <w:r w:rsidRPr="00D8040B">
              <w:rPr>
                <w:rFonts w:eastAsia="Corbel"/>
                <w:shd w:val="clear" w:color="auto" w:fill="FFFFFF"/>
              </w:rPr>
              <w:t xml:space="preserve">Asimilarea și utilizarea adecvată a tehnicilor de traducere audiovizuală cu programul de subtitrare </w:t>
            </w:r>
            <w:r w:rsidRPr="00D8040B">
              <w:rPr>
                <w:rFonts w:eastAsia="Corbel"/>
                <w:i/>
                <w:iCs/>
                <w:shd w:val="clear" w:color="auto" w:fill="FFFFFF"/>
              </w:rPr>
              <w:t xml:space="preserve">SubEdit, </w:t>
            </w:r>
            <w:r w:rsidRPr="00D8040B">
              <w:rPr>
                <w:rFonts w:eastAsia="Corbel"/>
                <w:shd w:val="clear" w:color="auto" w:fill="FFFFFF"/>
              </w:rPr>
              <w:t xml:space="preserve">comparație cu </w:t>
            </w:r>
            <w:r w:rsidRPr="00D8040B">
              <w:rPr>
                <w:rFonts w:eastAsia="Corbel"/>
                <w:i/>
                <w:iCs/>
                <w:shd w:val="clear" w:color="auto" w:fill="FFFFFF"/>
              </w:rPr>
              <w:t xml:space="preserve">memoQ </w:t>
            </w:r>
            <w:r w:rsidRPr="00D8040B">
              <w:rPr>
                <w:rFonts w:eastAsia="Corbel"/>
                <w:shd w:val="clear" w:color="auto" w:fill="FFFFFF"/>
              </w:rPr>
              <w:t xml:space="preserve">și </w:t>
            </w:r>
            <w:r w:rsidRPr="00D8040B">
              <w:rPr>
                <w:rFonts w:eastAsia="Corbel"/>
                <w:i/>
                <w:iCs/>
                <w:shd w:val="clear" w:color="auto" w:fill="FFFFFF"/>
              </w:rPr>
              <w:t>SDL Trados</w:t>
            </w:r>
          </w:p>
          <w:p w14:paraId="1974904C" w14:textId="71690BA5" w:rsidR="003A0D1E" w:rsidRPr="00D8040B" w:rsidRDefault="003A0D1E" w:rsidP="00D8040B">
            <w:pPr>
              <w:pStyle w:val="ListParagraph"/>
              <w:numPr>
                <w:ilvl w:val="0"/>
                <w:numId w:val="33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D8040B">
              <w:rPr>
                <w:rFonts w:eastAsia="Corbel"/>
                <w:shd w:val="clear" w:color="auto" w:fill="FFFFFF"/>
                <w:lang w:val="ro-RO"/>
              </w:rPr>
              <w:t>Identificarea de modalități de analiză și evaluare a procedeelor de subtitrare;</w:t>
            </w:r>
          </w:p>
          <w:p w14:paraId="74C9A21C" w14:textId="7B12C09F" w:rsidR="003A0D1E" w:rsidRPr="00D8040B" w:rsidRDefault="003A0D1E" w:rsidP="00D8040B">
            <w:pPr>
              <w:pStyle w:val="ListParagraph"/>
              <w:numPr>
                <w:ilvl w:val="0"/>
                <w:numId w:val="33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D8040B">
              <w:rPr>
                <w:lang w:val="ro-RO"/>
              </w:rPr>
              <w:t>Organizarea sarcinii de traducere conform cerințelor situației de traducere a textului țintă;</w:t>
            </w:r>
          </w:p>
          <w:p w14:paraId="2321C9B5" w14:textId="20DCA861" w:rsidR="003A0D1E" w:rsidRPr="00D8040B" w:rsidRDefault="003A0D1E" w:rsidP="00D8040B">
            <w:pPr>
              <w:pStyle w:val="ListParagraph"/>
              <w:numPr>
                <w:ilvl w:val="0"/>
                <w:numId w:val="33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D8040B">
              <w:rPr>
                <w:rFonts w:eastAsia="Corbel"/>
                <w:shd w:val="clear" w:color="auto" w:fill="FFFFFF"/>
                <w:lang w:val="ro-RO"/>
              </w:rPr>
              <w:t xml:space="preserve">Aplicarea și interpretarea corectă a conceptelor, </w:t>
            </w:r>
            <w:r w:rsidR="00F07553" w:rsidRPr="00D8040B">
              <w:rPr>
                <w:rFonts w:eastAsia="Corbel"/>
                <w:shd w:val="clear" w:color="auto" w:fill="FFFFFF"/>
                <w:lang w:val="ro-RO"/>
              </w:rPr>
              <w:t xml:space="preserve">teoriilor, </w:t>
            </w:r>
            <w:r w:rsidRPr="00D8040B">
              <w:rPr>
                <w:rFonts w:eastAsia="Corbel"/>
                <w:shd w:val="clear" w:color="auto" w:fill="FFFFFF"/>
                <w:lang w:val="ro-RO"/>
              </w:rPr>
              <w:t xml:space="preserve">metodelor de traducere și </w:t>
            </w:r>
            <w:r w:rsidR="00F07553" w:rsidRPr="00D8040B">
              <w:rPr>
                <w:rFonts w:eastAsia="Corbel"/>
                <w:shd w:val="clear" w:color="auto" w:fill="FFFFFF"/>
                <w:lang w:val="ro-RO"/>
              </w:rPr>
              <w:t>tehnicilor de exprimare economică în contextul audiovizual</w:t>
            </w:r>
            <w:r w:rsidRPr="00D8040B">
              <w:rPr>
                <w:rFonts w:eastAsia="Corbel"/>
                <w:shd w:val="clear" w:color="auto" w:fill="FFFFFF"/>
                <w:lang w:val="ro-RO"/>
              </w:rPr>
              <w:t>, asimilarea procedeelor de folosire a analizei contrastive;</w:t>
            </w:r>
          </w:p>
          <w:p w14:paraId="6243D801" w14:textId="36E20945" w:rsidR="003A0D1E" w:rsidRPr="00D8040B" w:rsidRDefault="003A0D1E" w:rsidP="00D8040B">
            <w:pPr>
              <w:pStyle w:val="ListParagraph"/>
              <w:numPr>
                <w:ilvl w:val="0"/>
                <w:numId w:val="33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D8040B">
              <w:rPr>
                <w:rFonts w:eastAsia="Corbel"/>
                <w:shd w:val="clear" w:color="auto" w:fill="FFFFFF"/>
                <w:lang w:val="ro-RO"/>
              </w:rPr>
              <w:t>Adaptarea metodelor teoretice la situații de folosire practică a programelor de subtitrare;</w:t>
            </w:r>
          </w:p>
          <w:p w14:paraId="2FCD7F97" w14:textId="33495D9F" w:rsidR="003A0D1E" w:rsidRPr="00D8040B" w:rsidRDefault="003A0D1E" w:rsidP="00D8040B">
            <w:pPr>
              <w:pStyle w:val="ListParagraph"/>
              <w:numPr>
                <w:ilvl w:val="0"/>
                <w:numId w:val="33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D8040B">
              <w:rPr>
                <w:rFonts w:eastAsia="Corbel"/>
                <w:shd w:val="clear" w:color="auto" w:fill="FFFFFF"/>
                <w:lang w:val="ro-RO"/>
              </w:rPr>
              <w:t>Conștientizarea importanței cunoașterii corecte a unor programe de traducere</w:t>
            </w:r>
            <w:r w:rsidR="00D8040B">
              <w:rPr>
                <w:rFonts w:eastAsia="Corbel"/>
                <w:shd w:val="clear" w:color="auto" w:fill="FFFFFF"/>
                <w:lang w:val="ro-RO"/>
              </w:rPr>
              <w:t xml:space="preserve"> și subtitrare</w:t>
            </w:r>
            <w:r w:rsidRPr="00D8040B">
              <w:rPr>
                <w:rFonts w:eastAsia="Corbel"/>
                <w:shd w:val="clear" w:color="auto" w:fill="FFFFFF"/>
                <w:lang w:val="ro-RO"/>
              </w:rPr>
              <w:t>;</w:t>
            </w:r>
          </w:p>
          <w:p w14:paraId="1C4198E9" w14:textId="3B001CC3" w:rsidR="00D24033" w:rsidRPr="00D8040B" w:rsidRDefault="003A0D1E" w:rsidP="00D8040B">
            <w:pPr>
              <w:pStyle w:val="ListParagraph"/>
              <w:numPr>
                <w:ilvl w:val="0"/>
                <w:numId w:val="33"/>
              </w:numPr>
              <w:rPr>
                <w:lang w:val="ro-RO"/>
              </w:rPr>
            </w:pPr>
            <w:r w:rsidRPr="00D8040B">
              <w:rPr>
                <w:rFonts w:eastAsia="Corbel"/>
                <w:shd w:val="clear" w:color="auto" w:fill="FFFFFF"/>
                <w:lang w:val="ro-RO"/>
              </w:rPr>
              <w:t xml:space="preserve">Identificarea elementelor problematice în tehnica </w:t>
            </w:r>
            <w:r w:rsidR="00F07553" w:rsidRPr="00D8040B">
              <w:rPr>
                <w:rFonts w:eastAsia="Corbel"/>
                <w:shd w:val="clear" w:color="auto" w:fill="FFFFFF"/>
                <w:lang w:val="ro-RO"/>
              </w:rPr>
              <w:t>subtitrării</w:t>
            </w:r>
            <w:r w:rsidR="00D8040B">
              <w:rPr>
                <w:rFonts w:eastAsia="Corbel"/>
                <w:shd w:val="clear" w:color="auto" w:fill="FFFFFF"/>
                <w:lang w:val="ro-RO"/>
              </w:rPr>
              <w:t>.</w:t>
            </w:r>
          </w:p>
        </w:tc>
      </w:tr>
    </w:tbl>
    <w:p w14:paraId="1616608F" w14:textId="77777777" w:rsidR="008027E9" w:rsidRPr="006E6D2D" w:rsidRDefault="008027E9" w:rsidP="00951D76">
      <w:pPr>
        <w:contextualSpacing/>
        <w:rPr>
          <w:noProof/>
          <w:lang w:val="ro-RO"/>
        </w:rPr>
      </w:pPr>
    </w:p>
    <w:p w14:paraId="738313EE" w14:textId="77777777" w:rsidR="008027E9" w:rsidRPr="006E6D2D" w:rsidRDefault="008027E9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8. Con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8"/>
        <w:gridCol w:w="3092"/>
        <w:gridCol w:w="1906"/>
      </w:tblGrid>
      <w:tr w:rsidR="009749C0" w:rsidRPr="00F07553" w14:paraId="137189B9" w14:textId="77777777" w:rsidTr="00562304">
        <w:tc>
          <w:tcPr>
            <w:tcW w:w="5935" w:type="dxa"/>
            <w:shd w:val="clear" w:color="auto" w:fill="auto"/>
          </w:tcPr>
          <w:p w14:paraId="06A08454" w14:textId="77777777" w:rsidR="00774235" w:rsidRPr="00F07553" w:rsidRDefault="00774235" w:rsidP="00951D76">
            <w:pPr>
              <w:contextualSpacing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8.1. Curs</w:t>
            </w:r>
          </w:p>
        </w:tc>
        <w:tc>
          <w:tcPr>
            <w:tcW w:w="2903" w:type="dxa"/>
            <w:shd w:val="clear" w:color="auto" w:fill="auto"/>
          </w:tcPr>
          <w:p w14:paraId="57014F86" w14:textId="77777777" w:rsidR="00774235" w:rsidRPr="00F07553" w:rsidRDefault="00774235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Metode de predare</w:t>
            </w:r>
          </w:p>
        </w:tc>
        <w:tc>
          <w:tcPr>
            <w:tcW w:w="1618" w:type="dxa"/>
            <w:shd w:val="clear" w:color="auto" w:fill="auto"/>
          </w:tcPr>
          <w:p w14:paraId="6854ACAE" w14:textId="77777777" w:rsidR="00774235" w:rsidRPr="00F07553" w:rsidRDefault="00774235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Observa</w:t>
            </w:r>
            <w:r w:rsidR="00217BE4" w:rsidRPr="00F07553">
              <w:rPr>
                <w:noProof/>
                <w:lang w:val="ro-RO"/>
              </w:rPr>
              <w:t>ț</w:t>
            </w:r>
            <w:r w:rsidRPr="00F07553">
              <w:rPr>
                <w:noProof/>
                <w:lang w:val="ro-RO"/>
              </w:rPr>
              <w:t>ii</w:t>
            </w:r>
          </w:p>
        </w:tc>
      </w:tr>
      <w:tr w:rsidR="009749C0" w:rsidRPr="00F07553" w14:paraId="4B3E1A31" w14:textId="77777777" w:rsidTr="00562304">
        <w:tc>
          <w:tcPr>
            <w:tcW w:w="5935" w:type="dxa"/>
            <w:shd w:val="clear" w:color="auto" w:fill="auto"/>
          </w:tcPr>
          <w:p w14:paraId="05BD3103" w14:textId="7905120A" w:rsidR="005F51A0" w:rsidRPr="00F07553" w:rsidRDefault="005F51A0" w:rsidP="00F07553">
            <w:pPr>
              <w:pStyle w:val="ListParagraph"/>
              <w:numPr>
                <w:ilvl w:val="0"/>
                <w:numId w:val="31"/>
              </w:numPr>
              <w:rPr>
                <w:lang w:val="ro-RO"/>
              </w:rPr>
            </w:pPr>
            <w:r w:rsidRPr="00F07553">
              <w:rPr>
                <w:lang w:val="ro-RO"/>
              </w:rPr>
              <w:t>Intro</w:t>
            </w:r>
            <w:r w:rsidR="006E6D2D" w:rsidRPr="00F07553">
              <w:rPr>
                <w:lang w:val="ro-RO"/>
              </w:rPr>
              <w:t>duc</w:t>
            </w:r>
            <w:r w:rsidR="009E58A9" w:rsidRPr="00F07553">
              <w:rPr>
                <w:lang w:val="ro-RO"/>
              </w:rPr>
              <w:t>ere</w:t>
            </w:r>
            <w:r w:rsidR="006E6D2D" w:rsidRPr="00F07553">
              <w:rPr>
                <w:lang w:val="ro-RO"/>
              </w:rPr>
              <w:t xml:space="preserve">. </w:t>
            </w:r>
            <w:r w:rsidR="009E58A9" w:rsidRPr="00F07553">
              <w:rPr>
                <w:lang w:val="ro-RO"/>
              </w:rPr>
              <w:t xml:space="preserve">TAV </w:t>
            </w:r>
            <w:r w:rsidR="00562304" w:rsidRPr="00F07553">
              <w:rPr>
                <w:lang w:val="ro-RO"/>
              </w:rPr>
              <w:t>–</w:t>
            </w:r>
            <w:r w:rsidR="009E58A9" w:rsidRPr="00F07553">
              <w:rPr>
                <w:lang w:val="ro-RO"/>
              </w:rPr>
              <w:t xml:space="preserve"> subtitrator</w:t>
            </w:r>
            <w:r w:rsidR="00562304" w:rsidRPr="00F07553">
              <w:rPr>
                <w:lang w:val="ro-RO"/>
              </w:rPr>
              <w:t>ul</w:t>
            </w:r>
          </w:p>
        </w:tc>
        <w:tc>
          <w:tcPr>
            <w:tcW w:w="2903" w:type="dxa"/>
            <w:vMerge w:val="restart"/>
            <w:shd w:val="clear" w:color="auto" w:fill="auto"/>
          </w:tcPr>
          <w:p w14:paraId="460DF969" w14:textId="77777777" w:rsidR="006E6D2D" w:rsidRPr="00F07553" w:rsidRDefault="006E6D2D" w:rsidP="006E6D2D">
            <w:pPr>
              <w:contextualSpacing/>
              <w:rPr>
                <w:noProof/>
                <w:lang w:val="ro-RO"/>
              </w:rPr>
            </w:pPr>
            <w:r w:rsidRPr="00F07553">
              <w:rPr>
                <w:rFonts w:eastAsia="Times New Roman"/>
                <w:noProof/>
                <w:lang w:val="ro-RO"/>
              </w:rPr>
              <w:t>p</w:t>
            </w:r>
            <w:r w:rsidR="005F51A0" w:rsidRPr="00F07553">
              <w:rPr>
                <w:rFonts w:eastAsia="Times New Roman"/>
                <w:noProof/>
                <w:lang w:val="ro-RO"/>
              </w:rPr>
              <w:t xml:space="preserve">relegere, exemplificare, exemple contrastive, problematizare, </w:t>
            </w:r>
            <w:r w:rsidRPr="00F07553">
              <w:rPr>
                <w:noProof/>
                <w:lang w:val="ro-RO"/>
              </w:rPr>
              <w:t xml:space="preserve">explicație, demonstrație, tehnici de vizualizare prin activități frontale folosind </w:t>
            </w:r>
            <w:r w:rsidRPr="00F07553">
              <w:rPr>
                <w:rFonts w:eastAsia="Times New Roman"/>
                <w:noProof/>
                <w:lang w:val="ro-RO"/>
              </w:rPr>
              <w:t xml:space="preserve">prezentare </w:t>
            </w:r>
            <w:r w:rsidRPr="00F07553">
              <w:rPr>
                <w:rFonts w:eastAsia="Times New Roman"/>
                <w:i/>
                <w:noProof/>
                <w:lang w:val="ro-RO"/>
              </w:rPr>
              <w:t>PPT</w:t>
            </w:r>
            <w:r w:rsidRPr="00F07553">
              <w:rPr>
                <w:noProof/>
                <w:lang w:val="ro-RO"/>
              </w:rPr>
              <w:t xml:space="preserve"> și materiale video</w:t>
            </w:r>
          </w:p>
        </w:tc>
        <w:tc>
          <w:tcPr>
            <w:tcW w:w="1618" w:type="dxa"/>
            <w:shd w:val="clear" w:color="auto" w:fill="auto"/>
          </w:tcPr>
          <w:p w14:paraId="21260943" w14:textId="77777777" w:rsidR="005F51A0" w:rsidRPr="00F07553" w:rsidRDefault="005F51A0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2 ore</w:t>
            </w:r>
          </w:p>
        </w:tc>
      </w:tr>
      <w:tr w:rsidR="009749C0" w:rsidRPr="00F07553" w14:paraId="6FBD2D73" w14:textId="77777777" w:rsidTr="00562304">
        <w:tc>
          <w:tcPr>
            <w:tcW w:w="5935" w:type="dxa"/>
            <w:shd w:val="clear" w:color="auto" w:fill="auto"/>
          </w:tcPr>
          <w:p w14:paraId="360D01B5" w14:textId="35B9F1B2" w:rsidR="009749C0" w:rsidRPr="00F07553" w:rsidRDefault="009E58A9" w:rsidP="00F07553">
            <w:pPr>
              <w:pStyle w:val="ListParagraph"/>
              <w:numPr>
                <w:ilvl w:val="0"/>
                <w:numId w:val="31"/>
              </w:numPr>
              <w:rPr>
                <w:lang w:val="ro-RO"/>
              </w:rPr>
            </w:pPr>
            <w:r w:rsidRPr="00F07553">
              <w:rPr>
                <w:lang w:val="ro-RO"/>
              </w:rPr>
              <w:t>Aspecte tehnice, programe de subtitrare</w:t>
            </w:r>
            <w:r w:rsidR="009749C0" w:rsidRPr="00F07553">
              <w:rPr>
                <w:lang w:val="ro-RO"/>
              </w:rPr>
              <w:t>;</w:t>
            </w:r>
          </w:p>
          <w:p w14:paraId="287FB540" w14:textId="30D9B3A9" w:rsidR="005F51A0" w:rsidRPr="00F07553" w:rsidRDefault="009749C0" w:rsidP="00F07553">
            <w:pPr>
              <w:pStyle w:val="ListParagraph"/>
              <w:rPr>
                <w:lang w:val="ro-RO"/>
              </w:rPr>
            </w:pPr>
            <w:r w:rsidRPr="00F07553">
              <w:rPr>
                <w:lang w:val="ro-RO"/>
              </w:rPr>
              <w:t>Codul de etică al subtitrării</w:t>
            </w:r>
          </w:p>
        </w:tc>
        <w:tc>
          <w:tcPr>
            <w:tcW w:w="2903" w:type="dxa"/>
            <w:vMerge/>
            <w:shd w:val="clear" w:color="auto" w:fill="auto"/>
          </w:tcPr>
          <w:p w14:paraId="46591DDC" w14:textId="77777777" w:rsidR="005F51A0" w:rsidRPr="00F07553" w:rsidRDefault="005F51A0" w:rsidP="00951D76">
            <w:pPr>
              <w:contextualSpacing/>
              <w:rPr>
                <w:noProof/>
                <w:lang w:val="ro-RO"/>
              </w:rPr>
            </w:pPr>
          </w:p>
        </w:tc>
        <w:tc>
          <w:tcPr>
            <w:tcW w:w="1618" w:type="dxa"/>
            <w:shd w:val="clear" w:color="auto" w:fill="auto"/>
          </w:tcPr>
          <w:p w14:paraId="63DB50F2" w14:textId="77777777" w:rsidR="005F51A0" w:rsidRPr="00F07553" w:rsidRDefault="005F51A0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2 ore</w:t>
            </w:r>
          </w:p>
        </w:tc>
      </w:tr>
      <w:tr w:rsidR="009749C0" w:rsidRPr="00F07553" w14:paraId="69D8C6B8" w14:textId="77777777" w:rsidTr="00562304">
        <w:tc>
          <w:tcPr>
            <w:tcW w:w="5935" w:type="dxa"/>
            <w:shd w:val="clear" w:color="auto" w:fill="auto"/>
          </w:tcPr>
          <w:p w14:paraId="7E6BE847" w14:textId="08660371" w:rsidR="009749C0" w:rsidRPr="00F07553" w:rsidRDefault="009749C0" w:rsidP="00F07553">
            <w:pPr>
              <w:pStyle w:val="ListParagraph"/>
              <w:numPr>
                <w:ilvl w:val="0"/>
                <w:numId w:val="31"/>
              </w:numPr>
              <w:rPr>
                <w:lang w:val="ro-RO"/>
              </w:rPr>
            </w:pPr>
            <w:r w:rsidRPr="00F07553">
              <w:rPr>
                <w:lang w:val="ro-RO"/>
              </w:rPr>
              <w:t>Subtitrare – standarde lingvistice</w:t>
            </w:r>
          </w:p>
          <w:p w14:paraId="4785974D" w14:textId="04769E37" w:rsidR="005F51A0" w:rsidRPr="00F07553" w:rsidRDefault="005F51A0" w:rsidP="00F07553">
            <w:pPr>
              <w:pStyle w:val="ListParagraph"/>
              <w:rPr>
                <w:lang w:val="ro-RO"/>
              </w:rPr>
            </w:pPr>
            <w:r w:rsidRPr="00F07553">
              <w:rPr>
                <w:lang w:val="ro-RO"/>
              </w:rPr>
              <w:t>polite</w:t>
            </w:r>
            <w:r w:rsidR="009749C0" w:rsidRPr="00F07553">
              <w:rPr>
                <w:lang w:val="ro-RO"/>
              </w:rPr>
              <w:t>țe</w:t>
            </w:r>
            <w:r w:rsidRPr="00F07553">
              <w:rPr>
                <w:lang w:val="ro-RO"/>
              </w:rPr>
              <w:t xml:space="preserve">, umor, </w:t>
            </w:r>
            <w:r w:rsidR="009749C0" w:rsidRPr="00F07553">
              <w:rPr>
                <w:lang w:val="ro-RO"/>
              </w:rPr>
              <w:t>dialecte</w:t>
            </w:r>
            <w:r w:rsidRPr="00F07553">
              <w:rPr>
                <w:lang w:val="ro-RO"/>
              </w:rPr>
              <w:t>, tab</w:t>
            </w:r>
            <w:r w:rsidR="009749C0" w:rsidRPr="00F07553">
              <w:rPr>
                <w:lang w:val="ro-RO"/>
              </w:rPr>
              <w:t>u</w:t>
            </w:r>
            <w:r w:rsidRPr="00F07553">
              <w:rPr>
                <w:lang w:val="ro-RO"/>
              </w:rPr>
              <w:t xml:space="preserve">, </w:t>
            </w:r>
            <w:r w:rsidR="009749C0" w:rsidRPr="00F07553">
              <w:rPr>
                <w:lang w:val="ro-RO"/>
              </w:rPr>
              <w:t>versuri</w:t>
            </w:r>
            <w:r w:rsidRPr="00F07553">
              <w:rPr>
                <w:lang w:val="ro-RO"/>
              </w:rPr>
              <w:t xml:space="preserve">, </w:t>
            </w:r>
            <w:r w:rsidR="009749C0" w:rsidRPr="00F07553">
              <w:rPr>
                <w:lang w:val="ro-RO"/>
              </w:rPr>
              <w:t>titluri</w:t>
            </w:r>
          </w:p>
        </w:tc>
        <w:tc>
          <w:tcPr>
            <w:tcW w:w="2903" w:type="dxa"/>
            <w:vMerge/>
            <w:shd w:val="clear" w:color="auto" w:fill="auto"/>
          </w:tcPr>
          <w:p w14:paraId="6B0A4EFE" w14:textId="77777777" w:rsidR="005F51A0" w:rsidRPr="00F07553" w:rsidRDefault="005F51A0" w:rsidP="00951D76">
            <w:pPr>
              <w:contextualSpacing/>
              <w:rPr>
                <w:noProof/>
                <w:lang w:val="ro-RO"/>
              </w:rPr>
            </w:pPr>
          </w:p>
        </w:tc>
        <w:tc>
          <w:tcPr>
            <w:tcW w:w="1618" w:type="dxa"/>
            <w:shd w:val="clear" w:color="auto" w:fill="auto"/>
          </w:tcPr>
          <w:p w14:paraId="0585674E" w14:textId="77777777" w:rsidR="005F51A0" w:rsidRPr="00F07553" w:rsidRDefault="005F51A0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2 ore</w:t>
            </w:r>
          </w:p>
        </w:tc>
      </w:tr>
      <w:tr w:rsidR="009749C0" w:rsidRPr="00F07553" w14:paraId="3BAFFAA9" w14:textId="77777777" w:rsidTr="00562304">
        <w:tc>
          <w:tcPr>
            <w:tcW w:w="5935" w:type="dxa"/>
            <w:shd w:val="clear" w:color="auto" w:fill="auto"/>
          </w:tcPr>
          <w:p w14:paraId="3C4C6134" w14:textId="1B63E183" w:rsidR="005F51A0" w:rsidRPr="00F07553" w:rsidRDefault="009749C0" w:rsidP="00F07553">
            <w:pPr>
              <w:pStyle w:val="ListParagraph"/>
              <w:numPr>
                <w:ilvl w:val="0"/>
                <w:numId w:val="31"/>
              </w:numPr>
              <w:rPr>
                <w:lang w:val="ro-RO"/>
              </w:rPr>
            </w:pPr>
            <w:r w:rsidRPr="00F07553">
              <w:rPr>
                <w:lang w:val="ro-RO"/>
              </w:rPr>
              <w:t>Subtitrare – referințe culturale</w:t>
            </w:r>
          </w:p>
        </w:tc>
        <w:tc>
          <w:tcPr>
            <w:tcW w:w="2903" w:type="dxa"/>
            <w:vMerge/>
            <w:shd w:val="clear" w:color="auto" w:fill="auto"/>
          </w:tcPr>
          <w:p w14:paraId="5939D1FE" w14:textId="77777777" w:rsidR="005F51A0" w:rsidRPr="00F07553" w:rsidRDefault="005F51A0" w:rsidP="00951D76">
            <w:pPr>
              <w:contextualSpacing/>
              <w:rPr>
                <w:noProof/>
                <w:lang w:val="ro-RO"/>
              </w:rPr>
            </w:pPr>
          </w:p>
        </w:tc>
        <w:tc>
          <w:tcPr>
            <w:tcW w:w="1618" w:type="dxa"/>
            <w:shd w:val="clear" w:color="auto" w:fill="auto"/>
          </w:tcPr>
          <w:p w14:paraId="1A39EFC4" w14:textId="77777777" w:rsidR="005F51A0" w:rsidRPr="00F07553" w:rsidRDefault="005F51A0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2 ore</w:t>
            </w:r>
          </w:p>
        </w:tc>
      </w:tr>
      <w:tr w:rsidR="009749C0" w:rsidRPr="00F07553" w14:paraId="3D036312" w14:textId="77777777" w:rsidTr="00562304">
        <w:tc>
          <w:tcPr>
            <w:tcW w:w="5935" w:type="dxa"/>
            <w:shd w:val="clear" w:color="auto" w:fill="auto"/>
          </w:tcPr>
          <w:p w14:paraId="692FF1AB" w14:textId="2F28526D" w:rsidR="005F51A0" w:rsidRPr="00F07553" w:rsidRDefault="005F51A0" w:rsidP="00F07553">
            <w:pPr>
              <w:pStyle w:val="ListParagraph"/>
              <w:numPr>
                <w:ilvl w:val="0"/>
                <w:numId w:val="31"/>
              </w:numPr>
              <w:rPr>
                <w:lang w:val="ro-RO"/>
              </w:rPr>
            </w:pPr>
            <w:r w:rsidRPr="00F07553">
              <w:rPr>
                <w:lang w:val="ro-RO"/>
              </w:rPr>
              <w:t>Terminolog</w:t>
            </w:r>
            <w:r w:rsidR="009749C0" w:rsidRPr="00F07553">
              <w:rPr>
                <w:lang w:val="ro-RO"/>
              </w:rPr>
              <w:t>ie și subtitrarea serialelor TV</w:t>
            </w:r>
          </w:p>
        </w:tc>
        <w:tc>
          <w:tcPr>
            <w:tcW w:w="2903" w:type="dxa"/>
            <w:vMerge/>
            <w:shd w:val="clear" w:color="auto" w:fill="auto"/>
          </w:tcPr>
          <w:p w14:paraId="6F5729E0" w14:textId="77777777" w:rsidR="005F51A0" w:rsidRPr="00F07553" w:rsidRDefault="005F51A0" w:rsidP="00951D76">
            <w:pPr>
              <w:contextualSpacing/>
              <w:rPr>
                <w:noProof/>
                <w:lang w:val="ro-RO"/>
              </w:rPr>
            </w:pPr>
          </w:p>
        </w:tc>
        <w:tc>
          <w:tcPr>
            <w:tcW w:w="1618" w:type="dxa"/>
            <w:shd w:val="clear" w:color="auto" w:fill="auto"/>
          </w:tcPr>
          <w:p w14:paraId="7DEE60C5" w14:textId="77777777" w:rsidR="005F51A0" w:rsidRPr="00F07553" w:rsidRDefault="005F51A0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2 ore</w:t>
            </w:r>
          </w:p>
        </w:tc>
      </w:tr>
      <w:tr w:rsidR="009749C0" w:rsidRPr="00F07553" w14:paraId="75DAAE72" w14:textId="77777777" w:rsidTr="00562304">
        <w:tc>
          <w:tcPr>
            <w:tcW w:w="5935" w:type="dxa"/>
            <w:shd w:val="clear" w:color="auto" w:fill="auto"/>
          </w:tcPr>
          <w:p w14:paraId="45FC8CF8" w14:textId="1EDA06B4" w:rsidR="005F51A0" w:rsidRPr="00F07553" w:rsidRDefault="009749C0" w:rsidP="00F07553">
            <w:pPr>
              <w:pStyle w:val="ListParagraph"/>
              <w:numPr>
                <w:ilvl w:val="0"/>
                <w:numId w:val="31"/>
              </w:numPr>
              <w:rPr>
                <w:lang w:val="ro-RO"/>
              </w:rPr>
            </w:pPr>
            <w:r w:rsidRPr="00F07553">
              <w:rPr>
                <w:lang w:val="ro-RO"/>
              </w:rPr>
              <w:t>Evaluarea subtitrărilor. Greșeli și succese</w:t>
            </w:r>
          </w:p>
        </w:tc>
        <w:tc>
          <w:tcPr>
            <w:tcW w:w="2903" w:type="dxa"/>
            <w:vMerge/>
            <w:shd w:val="clear" w:color="auto" w:fill="auto"/>
          </w:tcPr>
          <w:p w14:paraId="04B8E15C" w14:textId="77777777" w:rsidR="005F51A0" w:rsidRPr="00F07553" w:rsidRDefault="005F51A0" w:rsidP="00951D76">
            <w:pPr>
              <w:contextualSpacing/>
              <w:rPr>
                <w:noProof/>
                <w:lang w:val="ro-RO"/>
              </w:rPr>
            </w:pPr>
          </w:p>
        </w:tc>
        <w:tc>
          <w:tcPr>
            <w:tcW w:w="1618" w:type="dxa"/>
            <w:shd w:val="clear" w:color="auto" w:fill="auto"/>
          </w:tcPr>
          <w:p w14:paraId="43AA430A" w14:textId="77777777" w:rsidR="005F51A0" w:rsidRPr="00F07553" w:rsidRDefault="005F51A0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2 ore</w:t>
            </w:r>
          </w:p>
        </w:tc>
      </w:tr>
      <w:tr w:rsidR="009749C0" w:rsidRPr="00F07553" w14:paraId="33CEC369" w14:textId="77777777" w:rsidTr="00562304">
        <w:tc>
          <w:tcPr>
            <w:tcW w:w="5935" w:type="dxa"/>
            <w:shd w:val="clear" w:color="auto" w:fill="auto"/>
          </w:tcPr>
          <w:p w14:paraId="6163471E" w14:textId="31B16A61" w:rsidR="005F51A0" w:rsidRPr="00F07553" w:rsidRDefault="005F51A0" w:rsidP="00F07553">
            <w:pPr>
              <w:pStyle w:val="ListParagraph"/>
              <w:numPr>
                <w:ilvl w:val="0"/>
                <w:numId w:val="31"/>
              </w:numPr>
              <w:rPr>
                <w:lang w:val="ro-RO"/>
              </w:rPr>
            </w:pPr>
            <w:r w:rsidRPr="00F07553">
              <w:rPr>
                <w:lang w:val="ro-RO"/>
              </w:rPr>
              <w:t>Subtit</w:t>
            </w:r>
            <w:r w:rsidR="009749C0" w:rsidRPr="00F07553">
              <w:rPr>
                <w:lang w:val="ro-RO"/>
              </w:rPr>
              <w:t>ra</w:t>
            </w:r>
            <w:r w:rsidR="00ED22A9">
              <w:rPr>
                <w:lang w:val="ro-RO"/>
              </w:rPr>
              <w:t>r</w:t>
            </w:r>
            <w:r w:rsidR="009749C0" w:rsidRPr="00F07553">
              <w:rPr>
                <w:lang w:val="ro-RO"/>
              </w:rPr>
              <w:t xml:space="preserve">e pentru </w:t>
            </w:r>
            <w:r w:rsidRPr="00F07553">
              <w:rPr>
                <w:lang w:val="ro-RO"/>
              </w:rPr>
              <w:t>TED</w:t>
            </w:r>
          </w:p>
        </w:tc>
        <w:tc>
          <w:tcPr>
            <w:tcW w:w="2903" w:type="dxa"/>
            <w:vMerge/>
            <w:shd w:val="clear" w:color="auto" w:fill="auto"/>
          </w:tcPr>
          <w:p w14:paraId="38AC45E8" w14:textId="77777777" w:rsidR="005F51A0" w:rsidRPr="00F07553" w:rsidRDefault="005F51A0" w:rsidP="00951D76">
            <w:pPr>
              <w:contextualSpacing/>
              <w:rPr>
                <w:noProof/>
                <w:lang w:val="ro-RO"/>
              </w:rPr>
            </w:pPr>
          </w:p>
        </w:tc>
        <w:tc>
          <w:tcPr>
            <w:tcW w:w="1618" w:type="dxa"/>
            <w:shd w:val="clear" w:color="auto" w:fill="auto"/>
          </w:tcPr>
          <w:p w14:paraId="4402A05C" w14:textId="77777777" w:rsidR="005F51A0" w:rsidRPr="00F07553" w:rsidRDefault="005F51A0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2 ore</w:t>
            </w:r>
          </w:p>
        </w:tc>
      </w:tr>
      <w:tr w:rsidR="00850029" w:rsidRPr="00F07553" w14:paraId="554C16CE" w14:textId="77777777" w:rsidTr="00562304">
        <w:tc>
          <w:tcPr>
            <w:tcW w:w="10456" w:type="dxa"/>
            <w:gridSpan w:val="3"/>
            <w:shd w:val="clear" w:color="auto" w:fill="auto"/>
          </w:tcPr>
          <w:p w14:paraId="1E2B72C1" w14:textId="77777777" w:rsidR="00850029" w:rsidRPr="00F07553" w:rsidRDefault="00850029" w:rsidP="00D8040B">
            <w:pPr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Bibliografie</w:t>
            </w:r>
          </w:p>
          <w:p w14:paraId="6F8851D9" w14:textId="5B66DDCC" w:rsidR="00F51498" w:rsidRPr="00F07553" w:rsidRDefault="00F51498" w:rsidP="00D8040B">
            <w:pPr>
              <w:ind w:left="330" w:hanging="330"/>
              <w:rPr>
                <w:lang w:val="ro-RO"/>
              </w:rPr>
            </w:pPr>
            <w:r w:rsidRPr="00F07553">
              <w:rPr>
                <w:lang w:val="ro-RO"/>
              </w:rPr>
              <w:t xml:space="preserve">Alharti, A. </w:t>
            </w:r>
            <w:r w:rsidRPr="00F07553">
              <w:rPr>
                <w:i/>
                <w:iCs/>
                <w:lang w:val="ro-RO"/>
              </w:rPr>
              <w:t>Challenges and Strategies of Subtitling Humour</w:t>
            </w:r>
            <w:r w:rsidRPr="00F07553">
              <w:rPr>
                <w:lang w:val="ro-RO"/>
              </w:rPr>
              <w:t>. PhD Dissertation, 2016. http://usir.salford.ac.uk/id/eprint/40460/1/Challenges%20and%20Strategies%20of%20Subtitling%20Humour.pdf, 28. 09. 2019.</w:t>
            </w:r>
          </w:p>
          <w:p w14:paraId="1FC33DCB" w14:textId="4AE9344D" w:rsidR="00497BD1" w:rsidRPr="00F07553" w:rsidRDefault="00497BD1" w:rsidP="00D8040B">
            <w:pPr>
              <w:ind w:left="330" w:hanging="330"/>
              <w:rPr>
                <w:bCs/>
                <w:noProof/>
                <w:lang w:val="ro-RO"/>
              </w:rPr>
            </w:pPr>
            <w:r w:rsidRPr="00F07553">
              <w:rPr>
                <w:bCs/>
                <w:noProof/>
                <w:lang w:val="ro-RO"/>
              </w:rPr>
              <w:t>Arias Badia, B</w:t>
            </w:r>
            <w:r w:rsidR="008D366C" w:rsidRPr="00F07553">
              <w:rPr>
                <w:bCs/>
                <w:noProof/>
                <w:lang w:val="ro-RO"/>
              </w:rPr>
              <w:t>.</w:t>
            </w:r>
            <w:r w:rsidRPr="00F07553">
              <w:rPr>
                <w:bCs/>
                <w:noProof/>
                <w:lang w:val="ro-RO"/>
              </w:rPr>
              <w:t xml:space="preserve"> &amp; Jenny Brumme. Subtitling stereotyped discourse in the crime TV series </w:t>
            </w:r>
            <w:r w:rsidRPr="00F07553">
              <w:rPr>
                <w:bCs/>
                <w:i/>
                <w:iCs/>
                <w:noProof/>
                <w:lang w:val="ro-RO"/>
              </w:rPr>
              <w:t xml:space="preserve">Dexter </w:t>
            </w:r>
            <w:r w:rsidRPr="00F07553">
              <w:rPr>
                <w:bCs/>
                <w:noProof/>
                <w:lang w:val="ro-RO"/>
              </w:rPr>
              <w:t xml:space="preserve">(2006) and </w:t>
            </w:r>
            <w:r w:rsidRPr="00F07553">
              <w:rPr>
                <w:bCs/>
                <w:i/>
                <w:iCs/>
                <w:noProof/>
                <w:lang w:val="ro-RO"/>
              </w:rPr>
              <w:t xml:space="preserve">Castle </w:t>
            </w:r>
            <w:r w:rsidRPr="00F07553">
              <w:rPr>
                <w:bCs/>
                <w:noProof/>
                <w:lang w:val="ro-RO"/>
              </w:rPr>
              <w:t>(2009)</w:t>
            </w:r>
            <w:r w:rsidRPr="00F07553">
              <w:rPr>
                <w:bCs/>
                <w:i/>
                <w:iCs/>
                <w:noProof/>
                <w:lang w:val="ro-RO"/>
              </w:rPr>
              <w:t xml:space="preserve">, </w:t>
            </w:r>
            <w:r w:rsidRPr="00F07553">
              <w:rPr>
                <w:i/>
                <w:iCs/>
                <w:noProof/>
                <w:lang w:val="ro-RO"/>
              </w:rPr>
              <w:t xml:space="preserve">The Journal of Specialised Translation </w:t>
            </w:r>
            <w:r w:rsidRPr="00F07553">
              <w:rPr>
                <w:noProof/>
                <w:lang w:val="ro-RO"/>
              </w:rPr>
              <w:t>Issue 22 – July 2014</w:t>
            </w:r>
          </w:p>
          <w:p w14:paraId="202649A6" w14:textId="332762FD" w:rsidR="00497BD1" w:rsidRPr="00F07553" w:rsidRDefault="00497BD1" w:rsidP="00D8040B">
            <w:pPr>
              <w:ind w:left="330" w:hanging="330"/>
              <w:rPr>
                <w:bCs/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 xml:space="preserve">Carroll, M. Subtitling: Changing Standards for New Media? </w:t>
            </w:r>
            <w:r w:rsidRPr="00F07553">
              <w:rPr>
                <w:bCs/>
                <w:noProof/>
                <w:lang w:val="ro-RO"/>
              </w:rPr>
              <w:t xml:space="preserve">The LISA Newsletter: </w:t>
            </w:r>
            <w:r w:rsidRPr="00F07553">
              <w:rPr>
                <w:bCs/>
                <w:i/>
                <w:noProof/>
                <w:lang w:val="ro-RO"/>
              </w:rPr>
              <w:t>Globalization Insider</w:t>
            </w:r>
            <w:r w:rsidRPr="00F07553">
              <w:rPr>
                <w:bCs/>
                <w:noProof/>
                <w:lang w:val="ro-RO"/>
              </w:rPr>
              <w:t xml:space="preserve"> XIII/3.3., 2014.</w:t>
            </w:r>
          </w:p>
          <w:p w14:paraId="25A627F4" w14:textId="4DA6DCC7" w:rsidR="00497BD1" w:rsidRPr="00F07553" w:rsidRDefault="00497BD1" w:rsidP="00D8040B">
            <w:pPr>
              <w:ind w:left="330" w:hanging="330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 xml:space="preserve">Carroll, M. &amp; Ivarsson, J. </w:t>
            </w:r>
            <w:r w:rsidRPr="00F07553">
              <w:rPr>
                <w:i/>
                <w:iCs/>
                <w:noProof/>
                <w:lang w:val="ro-RO"/>
              </w:rPr>
              <w:t>Code of Good Subtitling Practice</w:t>
            </w:r>
            <w:r w:rsidRPr="00F07553">
              <w:rPr>
                <w:noProof/>
                <w:lang w:val="ro-RO"/>
              </w:rPr>
              <w:t>. Endorsed by the European Association for Studies in Screen Translation, Berlin, 1998.</w:t>
            </w:r>
          </w:p>
          <w:p w14:paraId="77E421EB" w14:textId="37D40763" w:rsidR="00497BD1" w:rsidRPr="00F07553" w:rsidRDefault="00497BD1" w:rsidP="00D8040B">
            <w:pPr>
              <w:ind w:left="330" w:hanging="330"/>
              <w:rPr>
                <w:i/>
                <w:iCs/>
                <w:noProof/>
                <w:lang w:val="ro-RO"/>
              </w:rPr>
            </w:pPr>
            <w:r w:rsidRPr="00F07553">
              <w:rPr>
                <w:iCs/>
                <w:noProof/>
                <w:lang w:val="ro-RO"/>
              </w:rPr>
              <w:t xml:space="preserve">Díaz-Cintas, J. </w:t>
            </w:r>
            <w:r w:rsidRPr="00F07553">
              <w:rPr>
                <w:noProof/>
                <w:lang w:val="ro-RO"/>
              </w:rPr>
              <w:t xml:space="preserve">Back to the Future in Subtitling, </w:t>
            </w:r>
            <w:r w:rsidRPr="00F07553">
              <w:rPr>
                <w:i/>
                <w:iCs/>
                <w:noProof/>
                <w:lang w:val="ro-RO"/>
              </w:rPr>
              <w:t>MuTra 2005 – Challenges of Multidimensional Translation: Conference</w:t>
            </w:r>
            <w:r w:rsidR="008D366C" w:rsidRPr="00F07553">
              <w:rPr>
                <w:i/>
                <w:iCs/>
                <w:noProof/>
                <w:lang w:val="ro-RO"/>
              </w:rPr>
              <w:t xml:space="preserve"> </w:t>
            </w:r>
            <w:r w:rsidRPr="00F07553">
              <w:rPr>
                <w:i/>
                <w:iCs/>
                <w:noProof/>
                <w:lang w:val="ro-RO"/>
              </w:rPr>
              <w:t>Proceedings.</w:t>
            </w:r>
          </w:p>
          <w:p w14:paraId="3F500B6A" w14:textId="1D242CBE" w:rsidR="008D366C" w:rsidRPr="00F07553" w:rsidRDefault="008D366C" w:rsidP="00D8040B">
            <w:pPr>
              <w:ind w:left="330" w:hanging="330"/>
              <w:rPr>
                <w:noProof/>
                <w:lang w:val="ro-RO"/>
              </w:rPr>
            </w:pPr>
            <w:r w:rsidRPr="00F07553">
              <w:rPr>
                <w:iCs/>
                <w:noProof/>
                <w:lang w:val="ro-RO"/>
              </w:rPr>
              <w:lastRenderedPageBreak/>
              <w:t xml:space="preserve">Díaz Cintas, J. </w:t>
            </w:r>
            <w:r w:rsidRPr="00F07553">
              <w:rPr>
                <w:i/>
                <w:iCs/>
                <w:noProof/>
                <w:lang w:val="ro-RO"/>
              </w:rPr>
              <w:t xml:space="preserve">New Trends in Audiovisual Translation. </w:t>
            </w:r>
            <w:r w:rsidRPr="00F07553">
              <w:rPr>
                <w:noProof/>
                <w:lang w:val="ro-RO"/>
              </w:rPr>
              <w:t>Multilingual Matters, Bristol-Buffalo-Toronto, 2009</w:t>
            </w:r>
          </w:p>
          <w:p w14:paraId="05F6328E" w14:textId="77777777" w:rsidR="00497BD1" w:rsidRPr="00F07553" w:rsidRDefault="00497BD1" w:rsidP="00D8040B">
            <w:pPr>
              <w:ind w:left="330" w:hanging="330"/>
              <w:rPr>
                <w:iCs/>
                <w:noProof/>
                <w:lang w:val="ro-RO"/>
              </w:rPr>
            </w:pPr>
            <w:r w:rsidRPr="00F07553">
              <w:rPr>
                <w:iCs/>
                <w:noProof/>
                <w:lang w:val="ro-RO"/>
              </w:rPr>
              <w:t>Ford Williams, Gareth</w:t>
            </w:r>
            <w:r w:rsidRPr="00F07553">
              <w:rPr>
                <w:i/>
                <w:iCs/>
                <w:noProof/>
                <w:lang w:val="ro-RO"/>
              </w:rPr>
              <w:t xml:space="preserve">. BBC Online Subtitling Editorial Guidelines </w:t>
            </w:r>
            <w:r w:rsidRPr="00F07553">
              <w:rPr>
                <w:iCs/>
                <w:noProof/>
                <w:lang w:val="ro-RO"/>
              </w:rPr>
              <w:t>V1.1 2009.</w:t>
            </w:r>
          </w:p>
          <w:p w14:paraId="50FE2091" w14:textId="77777777" w:rsidR="00497BD1" w:rsidRPr="00F07553" w:rsidRDefault="00497BD1" w:rsidP="00D8040B">
            <w:pPr>
              <w:ind w:left="330" w:hanging="330"/>
              <w:rPr>
                <w:iCs/>
                <w:noProof/>
                <w:lang w:val="ro-RO"/>
              </w:rPr>
            </w:pPr>
            <w:r w:rsidRPr="00F07553">
              <w:rPr>
                <w:bCs/>
                <w:noProof/>
                <w:lang w:val="ro-RO"/>
              </w:rPr>
              <w:t xml:space="preserve">Georgakopoulou, Panayota. Challenges for the audiovisual industry in the digital age: the ever changing needs of subtitle production, </w:t>
            </w:r>
            <w:r w:rsidRPr="00F07553">
              <w:rPr>
                <w:i/>
                <w:iCs/>
                <w:noProof/>
                <w:lang w:val="ro-RO"/>
              </w:rPr>
              <w:t xml:space="preserve">The Journal of Specialised Translation </w:t>
            </w:r>
            <w:r w:rsidRPr="00F07553">
              <w:rPr>
                <w:noProof/>
                <w:lang w:val="ro-RO"/>
              </w:rPr>
              <w:t>Issue 17 – January 2012.</w:t>
            </w:r>
          </w:p>
          <w:p w14:paraId="4034303F" w14:textId="77777777" w:rsidR="00497BD1" w:rsidRPr="00F07553" w:rsidRDefault="00497BD1" w:rsidP="00D8040B">
            <w:pPr>
              <w:ind w:left="330" w:hanging="330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 xml:space="preserve">Gottlieb, Henrik. “Subtitling”. </w:t>
            </w:r>
            <w:r w:rsidRPr="00F07553">
              <w:rPr>
                <w:i/>
                <w:iCs/>
                <w:noProof/>
                <w:lang w:val="ro-RO"/>
              </w:rPr>
              <w:t>Routledge Encyclopedia of Translation Studies</w:t>
            </w:r>
            <w:r w:rsidRPr="00F07553">
              <w:rPr>
                <w:noProof/>
                <w:lang w:val="ro-RO"/>
              </w:rPr>
              <w:t>. Ed. Mona Baker. 1998. London: Routledge, 2001: 244 – 247.</w:t>
            </w:r>
          </w:p>
          <w:p w14:paraId="2D2BA4FF" w14:textId="768F85EC" w:rsidR="00497BD1" w:rsidRPr="00F07553" w:rsidRDefault="00497BD1" w:rsidP="00D8040B">
            <w:pPr>
              <w:ind w:left="330" w:hanging="330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 xml:space="preserve">Imre, A. </w:t>
            </w:r>
            <w:r w:rsidRPr="00F07553">
              <w:rPr>
                <w:i/>
                <w:iCs/>
                <w:noProof/>
                <w:lang w:val="ro-RO"/>
              </w:rPr>
              <w:t xml:space="preserve">Traps of Translation. </w:t>
            </w:r>
            <w:r w:rsidRPr="00F07553">
              <w:rPr>
                <w:noProof/>
                <w:lang w:val="ro-RO"/>
              </w:rPr>
              <w:t>Ed. Universității Transilvania Brașov, 2013. 175–205, 230–245.</w:t>
            </w:r>
          </w:p>
          <w:p w14:paraId="7B1199BB" w14:textId="194E3203" w:rsidR="007635BD" w:rsidRPr="00F07553" w:rsidRDefault="007635BD" w:rsidP="00D8040B">
            <w:pPr>
              <w:ind w:left="330" w:hanging="330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 xml:space="preserve">Media Consulting Group. </w:t>
            </w:r>
            <w:r w:rsidRPr="00F07553">
              <w:rPr>
                <w:i/>
                <w:iCs/>
                <w:noProof/>
                <w:lang w:val="ro-RO"/>
              </w:rPr>
              <w:t>Study on the use of subtitling</w:t>
            </w:r>
            <w:r w:rsidRPr="00F07553">
              <w:rPr>
                <w:noProof/>
                <w:lang w:val="ro-RO"/>
              </w:rPr>
              <w:t>. Requested by the EC-DGEC (2011)</w:t>
            </w:r>
          </w:p>
          <w:p w14:paraId="67E15CA0" w14:textId="7E4AEA52" w:rsidR="007635BD" w:rsidRPr="00F07553" w:rsidRDefault="007635BD" w:rsidP="00D8040B">
            <w:pPr>
              <w:ind w:left="330" w:hanging="330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ab/>
            </w:r>
            <w:hyperlink r:id="rId7" w:history="1">
              <w:r w:rsidRPr="00F07553">
                <w:rPr>
                  <w:rStyle w:val="Hyperlink"/>
                  <w:noProof/>
                  <w:lang w:val="ro-RO"/>
                </w:rPr>
                <w:t>https://publications.europa.eu/en/publication-detail/-/publication/e4d5cbf4-a839-4a8a-81d0-</w:t>
              </w:r>
            </w:hyperlink>
            <w:r w:rsidRPr="00F07553">
              <w:rPr>
                <w:noProof/>
                <w:lang w:val="ro-RO"/>
              </w:rPr>
              <w:t>7b19a22cc5ce, 09. 23. 2019</w:t>
            </w:r>
          </w:p>
          <w:p w14:paraId="7344A9A0" w14:textId="0703AE8E" w:rsidR="00F51498" w:rsidRPr="00F07553" w:rsidRDefault="00F51498" w:rsidP="00D8040B">
            <w:pPr>
              <w:ind w:left="330" w:hanging="330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 xml:space="preserve">Pedersen, J. How is Culture Rendered in Subtitles?, </w:t>
            </w:r>
            <w:r w:rsidRPr="00F07553">
              <w:rPr>
                <w:rStyle w:val="fontstyle01"/>
                <w:rFonts w:ascii="Times New Roman" w:hAnsi="Times New Roman"/>
                <w:sz w:val="24"/>
                <w:szCs w:val="24"/>
                <w:lang w:val="ro-RO"/>
              </w:rPr>
              <w:t xml:space="preserve">MuTra 2005 – Challenges of Multidimensional Translation: Conference Proceedings, </w:t>
            </w:r>
            <w:r w:rsidRPr="00F07553">
              <w:rPr>
                <w:rStyle w:val="fontstyle01"/>
                <w:rFonts w:ascii="Times New Roman" w:hAnsi="Times New Roman"/>
                <w:i w:val="0"/>
                <w:iCs w:val="0"/>
                <w:sz w:val="24"/>
                <w:szCs w:val="24"/>
                <w:lang w:val="ro-RO"/>
              </w:rPr>
              <w:t>2005.</w:t>
            </w:r>
          </w:p>
          <w:p w14:paraId="6D3C07D1" w14:textId="77777777" w:rsidR="00850029" w:rsidRPr="00F07553" w:rsidRDefault="00497BD1" w:rsidP="00D8040B">
            <w:pPr>
              <w:ind w:left="330" w:hanging="330"/>
              <w:rPr>
                <w:noProof/>
                <w:lang w:val="ro-RO"/>
              </w:rPr>
            </w:pPr>
            <w:r w:rsidRPr="00F07553">
              <w:rPr>
                <w:bCs/>
                <w:noProof/>
                <w:lang w:val="ro-RO"/>
              </w:rPr>
              <w:t xml:space="preserve">Ramière, Nathalie. Reaching a Foreign Audience: Cultural Transfers in Audiovisual Translation, </w:t>
            </w:r>
            <w:r w:rsidRPr="00F07553">
              <w:rPr>
                <w:i/>
                <w:iCs/>
                <w:noProof/>
                <w:lang w:val="ro-RO"/>
              </w:rPr>
              <w:t xml:space="preserve">The Journal of Specialised Translation. </w:t>
            </w:r>
            <w:r w:rsidRPr="00F07553">
              <w:rPr>
                <w:noProof/>
                <w:lang w:val="ro-RO"/>
              </w:rPr>
              <w:t>Issue 6 – July 2006.</w:t>
            </w:r>
          </w:p>
          <w:p w14:paraId="3F0F9ECE" w14:textId="5392728D" w:rsidR="00497BD1" w:rsidRPr="00F07553" w:rsidRDefault="00497BD1" w:rsidP="00D8040B">
            <w:pPr>
              <w:ind w:left="330" w:hanging="330"/>
              <w:rPr>
                <w:i/>
                <w:iCs/>
                <w:noProof/>
                <w:lang w:val="ro-RO"/>
              </w:rPr>
            </w:pPr>
            <w:r w:rsidRPr="00F07553">
              <w:rPr>
                <w:i/>
                <w:iCs/>
                <w:noProof/>
                <w:lang w:val="ro-RO"/>
              </w:rPr>
              <w:t xml:space="preserve">*** ITC Guidance on Standards for Subtitling, </w:t>
            </w:r>
            <w:r w:rsidRPr="00F07553">
              <w:rPr>
                <w:noProof/>
                <w:lang w:val="ro-RO"/>
              </w:rPr>
              <w:t>1999.</w:t>
            </w:r>
          </w:p>
        </w:tc>
      </w:tr>
      <w:tr w:rsidR="009749C0" w:rsidRPr="00F07553" w14:paraId="0FF89F32" w14:textId="77777777" w:rsidTr="00562304">
        <w:trPr>
          <w:trHeight w:val="20"/>
        </w:trPr>
        <w:tc>
          <w:tcPr>
            <w:tcW w:w="5935" w:type="dxa"/>
            <w:shd w:val="clear" w:color="auto" w:fill="auto"/>
          </w:tcPr>
          <w:p w14:paraId="6313D219" w14:textId="29FA9BB2" w:rsidR="00850029" w:rsidRPr="00F07553" w:rsidRDefault="00850029" w:rsidP="00951D76">
            <w:pPr>
              <w:contextualSpacing/>
              <w:rPr>
                <w:lang w:val="ro-RO"/>
              </w:rPr>
            </w:pPr>
            <w:r w:rsidRPr="00F07553">
              <w:rPr>
                <w:lang w:val="ro-RO"/>
              </w:rPr>
              <w:lastRenderedPageBreak/>
              <w:t>8.</w:t>
            </w:r>
            <w:r w:rsidR="002D611E" w:rsidRPr="00F07553">
              <w:rPr>
                <w:lang w:val="ro-RO"/>
              </w:rPr>
              <w:t>3</w:t>
            </w:r>
            <w:r w:rsidRPr="00F07553">
              <w:rPr>
                <w:lang w:val="ro-RO"/>
              </w:rPr>
              <w:t xml:space="preserve">. </w:t>
            </w:r>
            <w:r w:rsidR="002D611E" w:rsidRPr="00F07553">
              <w:rPr>
                <w:lang w:val="ro-RO"/>
              </w:rPr>
              <w:t>Laborator</w:t>
            </w:r>
            <w:r w:rsidRPr="00F07553">
              <w:rPr>
                <w:lang w:val="ro-RO"/>
              </w:rPr>
              <w:t xml:space="preserve"> </w:t>
            </w:r>
            <w:r w:rsidR="007F0DBF" w:rsidRPr="00F07553">
              <w:rPr>
                <w:lang w:val="ro-RO"/>
              </w:rPr>
              <w:t>E/G</w:t>
            </w:r>
          </w:p>
        </w:tc>
        <w:tc>
          <w:tcPr>
            <w:tcW w:w="2903" w:type="dxa"/>
            <w:shd w:val="clear" w:color="auto" w:fill="auto"/>
          </w:tcPr>
          <w:p w14:paraId="0A6FED31" w14:textId="77777777" w:rsidR="00850029" w:rsidRPr="00F07553" w:rsidRDefault="00850029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Metode de predare</w:t>
            </w:r>
          </w:p>
        </w:tc>
        <w:tc>
          <w:tcPr>
            <w:tcW w:w="1618" w:type="dxa"/>
            <w:shd w:val="clear" w:color="auto" w:fill="auto"/>
          </w:tcPr>
          <w:p w14:paraId="02EB17B1" w14:textId="77777777" w:rsidR="00850029" w:rsidRPr="00F07553" w:rsidRDefault="00850029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Observa</w:t>
            </w:r>
            <w:r w:rsidR="00217BE4" w:rsidRPr="00F07553">
              <w:rPr>
                <w:noProof/>
                <w:lang w:val="ro-RO"/>
              </w:rPr>
              <w:t>ț</w:t>
            </w:r>
            <w:r w:rsidRPr="00F07553">
              <w:rPr>
                <w:noProof/>
                <w:lang w:val="ro-RO"/>
              </w:rPr>
              <w:t>ii</w:t>
            </w:r>
          </w:p>
        </w:tc>
      </w:tr>
      <w:tr w:rsidR="009749C0" w:rsidRPr="00F07553" w14:paraId="1E0C577B" w14:textId="77777777" w:rsidTr="00562304">
        <w:trPr>
          <w:trHeight w:val="20"/>
        </w:trPr>
        <w:tc>
          <w:tcPr>
            <w:tcW w:w="5935" w:type="dxa"/>
            <w:shd w:val="clear" w:color="auto" w:fill="auto"/>
          </w:tcPr>
          <w:p w14:paraId="4FFFF5FD" w14:textId="2C3EB13B" w:rsidR="0089490E" w:rsidRPr="00F07553" w:rsidRDefault="0089490E" w:rsidP="00F07553">
            <w:pPr>
              <w:pStyle w:val="ListParagraph"/>
              <w:numPr>
                <w:ilvl w:val="0"/>
                <w:numId w:val="32"/>
              </w:numPr>
              <w:rPr>
                <w:lang w:val="ro-RO"/>
              </w:rPr>
            </w:pPr>
            <w:r w:rsidRPr="00F07553">
              <w:rPr>
                <w:lang w:val="ro-RO"/>
              </w:rPr>
              <w:t>Introduc</w:t>
            </w:r>
            <w:r w:rsidR="009749C0" w:rsidRPr="00F07553">
              <w:rPr>
                <w:lang w:val="ro-RO"/>
              </w:rPr>
              <w:t>ere</w:t>
            </w:r>
            <w:r w:rsidRPr="00F07553">
              <w:rPr>
                <w:lang w:val="ro-RO"/>
              </w:rPr>
              <w:t xml:space="preserve"> (ted.com) – </w:t>
            </w:r>
            <w:r w:rsidR="009749C0" w:rsidRPr="00F07553">
              <w:rPr>
                <w:lang w:val="ro-RO"/>
              </w:rPr>
              <w:t>cerințe</w:t>
            </w:r>
          </w:p>
        </w:tc>
        <w:tc>
          <w:tcPr>
            <w:tcW w:w="2903" w:type="dxa"/>
            <w:vMerge w:val="restart"/>
            <w:shd w:val="clear" w:color="auto" w:fill="auto"/>
          </w:tcPr>
          <w:p w14:paraId="1C2A9FF9" w14:textId="7D9A50EE" w:rsidR="006E6D2D" w:rsidRPr="00F07553" w:rsidRDefault="0089490E" w:rsidP="00F07553">
            <w:pPr>
              <w:contextualSpacing/>
              <w:rPr>
                <w:rFonts w:eastAsia="Times New Roman"/>
                <w:noProof/>
                <w:lang w:val="ro-RO"/>
              </w:rPr>
            </w:pPr>
            <w:r w:rsidRPr="00F07553">
              <w:rPr>
                <w:rFonts w:eastAsia="Times New Roman"/>
                <w:noProof/>
                <w:lang w:val="ro-RO"/>
              </w:rPr>
              <w:t xml:space="preserve">problematizare, </w:t>
            </w:r>
            <w:r w:rsidR="006E6D2D" w:rsidRPr="00F07553">
              <w:rPr>
                <w:rFonts w:eastAsia="Times New Roman"/>
                <w:noProof/>
                <w:lang w:val="ro-RO"/>
              </w:rPr>
              <w:t>conversație, explicație, demonstrație, metode deductive, asociere, exemplificare,</w:t>
            </w:r>
            <w:r w:rsidR="00F07553">
              <w:rPr>
                <w:rFonts w:eastAsia="Times New Roman"/>
                <w:noProof/>
                <w:lang w:val="ro-RO"/>
              </w:rPr>
              <w:t xml:space="preserve"> </w:t>
            </w:r>
            <w:r w:rsidR="006E6D2D" w:rsidRPr="00F07553">
              <w:rPr>
                <w:rFonts w:eastAsia="Times New Roman"/>
                <w:noProof/>
                <w:lang w:val="ro-RO"/>
              </w:rPr>
              <w:t>tehnici de vizualizare prin activități frontale, individuale, în perechi, de grup, folosind materiale video</w:t>
            </w:r>
          </w:p>
        </w:tc>
        <w:tc>
          <w:tcPr>
            <w:tcW w:w="1618" w:type="dxa"/>
            <w:shd w:val="clear" w:color="auto" w:fill="auto"/>
          </w:tcPr>
          <w:p w14:paraId="2A47C2E3" w14:textId="77777777" w:rsidR="0089490E" w:rsidRPr="00F07553" w:rsidRDefault="0089490E" w:rsidP="00951D76">
            <w:pPr>
              <w:ind w:right="-20"/>
              <w:contextualSpacing/>
              <w:jc w:val="center"/>
              <w:rPr>
                <w:rFonts w:eastAsia="Times New Roman"/>
                <w:noProof/>
                <w:lang w:val="ro-RO"/>
              </w:rPr>
            </w:pPr>
            <w:r w:rsidRPr="00F07553">
              <w:rPr>
                <w:rFonts w:eastAsia="Times New Roman"/>
                <w:noProof/>
                <w:lang w:val="ro-RO"/>
              </w:rPr>
              <w:t>2 ore</w:t>
            </w:r>
          </w:p>
        </w:tc>
      </w:tr>
      <w:tr w:rsidR="009749C0" w:rsidRPr="00F07553" w14:paraId="57C68751" w14:textId="77777777" w:rsidTr="00562304">
        <w:trPr>
          <w:trHeight w:val="20"/>
        </w:trPr>
        <w:tc>
          <w:tcPr>
            <w:tcW w:w="5935" w:type="dxa"/>
            <w:shd w:val="clear" w:color="auto" w:fill="auto"/>
          </w:tcPr>
          <w:p w14:paraId="5A84DB6E" w14:textId="419C0B92" w:rsidR="0089490E" w:rsidRPr="00F07553" w:rsidRDefault="009749C0" w:rsidP="00F07553">
            <w:pPr>
              <w:pStyle w:val="ListParagraph"/>
              <w:numPr>
                <w:ilvl w:val="0"/>
                <w:numId w:val="32"/>
              </w:numPr>
              <w:rPr>
                <w:lang w:val="ro-RO"/>
              </w:rPr>
            </w:pPr>
            <w:r w:rsidRPr="00F07553">
              <w:rPr>
                <w:lang w:val="ro-RO"/>
              </w:rPr>
              <w:t>Studiu de caz</w:t>
            </w:r>
            <w:r w:rsidR="0089490E" w:rsidRPr="00F07553">
              <w:rPr>
                <w:lang w:val="ro-RO"/>
              </w:rPr>
              <w:t xml:space="preserve"> – subtit</w:t>
            </w:r>
            <w:r w:rsidRPr="00F07553">
              <w:rPr>
                <w:lang w:val="ro-RO"/>
              </w:rPr>
              <w:t>rarea limbajului tehnic</w:t>
            </w:r>
          </w:p>
        </w:tc>
        <w:tc>
          <w:tcPr>
            <w:tcW w:w="2903" w:type="dxa"/>
            <w:vMerge/>
            <w:shd w:val="clear" w:color="auto" w:fill="auto"/>
          </w:tcPr>
          <w:p w14:paraId="35E2EB52" w14:textId="77777777" w:rsidR="0089490E" w:rsidRPr="00F07553" w:rsidRDefault="0089490E" w:rsidP="00951D76">
            <w:pPr>
              <w:contextualSpacing/>
              <w:jc w:val="center"/>
              <w:rPr>
                <w:noProof/>
                <w:lang w:val="ro-RO"/>
              </w:rPr>
            </w:pPr>
          </w:p>
        </w:tc>
        <w:tc>
          <w:tcPr>
            <w:tcW w:w="1618" w:type="dxa"/>
            <w:shd w:val="clear" w:color="auto" w:fill="auto"/>
          </w:tcPr>
          <w:p w14:paraId="5D6A72E4" w14:textId="77777777" w:rsidR="0089490E" w:rsidRPr="00F07553" w:rsidRDefault="0089490E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rFonts w:eastAsia="Times New Roman"/>
                <w:noProof/>
                <w:lang w:val="ro-RO"/>
              </w:rPr>
              <w:t>2 ore</w:t>
            </w:r>
          </w:p>
        </w:tc>
      </w:tr>
      <w:tr w:rsidR="009749C0" w:rsidRPr="00F07553" w14:paraId="5775FD71" w14:textId="77777777" w:rsidTr="00562304">
        <w:trPr>
          <w:trHeight w:val="20"/>
        </w:trPr>
        <w:tc>
          <w:tcPr>
            <w:tcW w:w="5935" w:type="dxa"/>
            <w:shd w:val="clear" w:color="auto" w:fill="auto"/>
          </w:tcPr>
          <w:p w14:paraId="76421D3E" w14:textId="5AE3F0C0" w:rsidR="0089490E" w:rsidRPr="00F07553" w:rsidRDefault="009749C0" w:rsidP="00F07553">
            <w:pPr>
              <w:pStyle w:val="ListParagraph"/>
              <w:numPr>
                <w:ilvl w:val="0"/>
                <w:numId w:val="32"/>
              </w:numPr>
              <w:rPr>
                <w:lang w:val="ro-RO"/>
              </w:rPr>
            </w:pPr>
            <w:r w:rsidRPr="00F07553">
              <w:rPr>
                <w:lang w:val="ro-RO"/>
              </w:rPr>
              <w:t>Studiu de caz</w:t>
            </w:r>
            <w:r w:rsidR="0089490E" w:rsidRPr="00F07553">
              <w:rPr>
                <w:lang w:val="ro-RO"/>
              </w:rPr>
              <w:t xml:space="preserve"> – subtit</w:t>
            </w:r>
            <w:r w:rsidRPr="00F07553">
              <w:rPr>
                <w:lang w:val="ro-RO"/>
              </w:rPr>
              <w:t>rare – dificultăți lingvistice</w:t>
            </w:r>
          </w:p>
        </w:tc>
        <w:tc>
          <w:tcPr>
            <w:tcW w:w="2903" w:type="dxa"/>
            <w:vMerge/>
            <w:shd w:val="clear" w:color="auto" w:fill="auto"/>
          </w:tcPr>
          <w:p w14:paraId="6168C629" w14:textId="77777777" w:rsidR="0089490E" w:rsidRPr="00F07553" w:rsidRDefault="0089490E" w:rsidP="00951D76">
            <w:pPr>
              <w:contextualSpacing/>
              <w:jc w:val="center"/>
              <w:rPr>
                <w:noProof/>
                <w:lang w:val="ro-RO"/>
              </w:rPr>
            </w:pPr>
          </w:p>
        </w:tc>
        <w:tc>
          <w:tcPr>
            <w:tcW w:w="1618" w:type="dxa"/>
            <w:shd w:val="clear" w:color="auto" w:fill="auto"/>
          </w:tcPr>
          <w:p w14:paraId="0B870FCE" w14:textId="77777777" w:rsidR="0089490E" w:rsidRPr="00F07553" w:rsidRDefault="0089490E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rFonts w:eastAsia="Times New Roman"/>
                <w:noProof/>
                <w:lang w:val="ro-RO"/>
              </w:rPr>
              <w:t>2 ore</w:t>
            </w:r>
          </w:p>
        </w:tc>
      </w:tr>
      <w:tr w:rsidR="009749C0" w:rsidRPr="00F07553" w14:paraId="1DD97F58" w14:textId="77777777" w:rsidTr="00562304">
        <w:trPr>
          <w:trHeight w:val="20"/>
        </w:trPr>
        <w:tc>
          <w:tcPr>
            <w:tcW w:w="5935" w:type="dxa"/>
            <w:shd w:val="clear" w:color="auto" w:fill="auto"/>
          </w:tcPr>
          <w:p w14:paraId="6488CD50" w14:textId="58FED884" w:rsidR="0089490E" w:rsidRPr="00F07553" w:rsidRDefault="009749C0" w:rsidP="00F07553">
            <w:pPr>
              <w:pStyle w:val="ListParagraph"/>
              <w:numPr>
                <w:ilvl w:val="0"/>
                <w:numId w:val="32"/>
              </w:numPr>
              <w:rPr>
                <w:lang w:val="ro-RO"/>
              </w:rPr>
            </w:pPr>
            <w:r w:rsidRPr="00F07553">
              <w:rPr>
                <w:lang w:val="ro-RO"/>
              </w:rPr>
              <w:t>Studiu de caz</w:t>
            </w:r>
            <w:r w:rsidR="0089490E" w:rsidRPr="00F07553">
              <w:rPr>
                <w:lang w:val="ro-RO"/>
              </w:rPr>
              <w:t xml:space="preserve"> – </w:t>
            </w:r>
            <w:r w:rsidRPr="00F07553">
              <w:rPr>
                <w:lang w:val="ro-RO"/>
              </w:rPr>
              <w:t>traducerea aspectelor culturale</w:t>
            </w:r>
          </w:p>
        </w:tc>
        <w:tc>
          <w:tcPr>
            <w:tcW w:w="2903" w:type="dxa"/>
            <w:vMerge/>
            <w:shd w:val="clear" w:color="auto" w:fill="auto"/>
          </w:tcPr>
          <w:p w14:paraId="6F395A2A" w14:textId="77777777" w:rsidR="0089490E" w:rsidRPr="00F07553" w:rsidRDefault="0089490E" w:rsidP="00951D76">
            <w:pPr>
              <w:contextualSpacing/>
              <w:jc w:val="center"/>
              <w:rPr>
                <w:noProof/>
                <w:lang w:val="ro-RO"/>
              </w:rPr>
            </w:pPr>
          </w:p>
        </w:tc>
        <w:tc>
          <w:tcPr>
            <w:tcW w:w="1618" w:type="dxa"/>
            <w:shd w:val="clear" w:color="auto" w:fill="auto"/>
          </w:tcPr>
          <w:p w14:paraId="0644F0E0" w14:textId="77777777" w:rsidR="0089490E" w:rsidRPr="00F07553" w:rsidRDefault="0089490E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rFonts w:eastAsia="Times New Roman"/>
                <w:noProof/>
                <w:lang w:val="ro-RO"/>
              </w:rPr>
              <w:t>2 ore</w:t>
            </w:r>
          </w:p>
        </w:tc>
      </w:tr>
      <w:tr w:rsidR="009749C0" w:rsidRPr="00F07553" w14:paraId="15163256" w14:textId="77777777" w:rsidTr="00562304">
        <w:trPr>
          <w:trHeight w:val="20"/>
        </w:trPr>
        <w:tc>
          <w:tcPr>
            <w:tcW w:w="5935" w:type="dxa"/>
            <w:shd w:val="clear" w:color="auto" w:fill="auto"/>
          </w:tcPr>
          <w:p w14:paraId="3BF70EC3" w14:textId="1EC327D1" w:rsidR="0089490E" w:rsidRPr="00F07553" w:rsidRDefault="009749C0" w:rsidP="00F07553">
            <w:pPr>
              <w:pStyle w:val="ListParagraph"/>
              <w:numPr>
                <w:ilvl w:val="0"/>
                <w:numId w:val="32"/>
              </w:numPr>
              <w:rPr>
                <w:lang w:val="ro-RO"/>
              </w:rPr>
            </w:pPr>
            <w:r w:rsidRPr="00F07553">
              <w:rPr>
                <w:lang w:val="ro-RO"/>
              </w:rPr>
              <w:t>Studiu de caz</w:t>
            </w:r>
            <w:r w:rsidR="0089490E" w:rsidRPr="00F07553">
              <w:rPr>
                <w:lang w:val="ro-RO"/>
              </w:rPr>
              <w:t xml:space="preserve"> – subtit</w:t>
            </w:r>
            <w:r w:rsidRPr="00F07553">
              <w:rPr>
                <w:lang w:val="ro-RO"/>
              </w:rPr>
              <w:t>rare limbajului juridic</w:t>
            </w:r>
          </w:p>
        </w:tc>
        <w:tc>
          <w:tcPr>
            <w:tcW w:w="2903" w:type="dxa"/>
            <w:vMerge/>
            <w:shd w:val="clear" w:color="auto" w:fill="auto"/>
          </w:tcPr>
          <w:p w14:paraId="0FFE26BC" w14:textId="77777777" w:rsidR="0089490E" w:rsidRPr="00F07553" w:rsidRDefault="0089490E" w:rsidP="00951D76">
            <w:pPr>
              <w:contextualSpacing/>
              <w:jc w:val="center"/>
              <w:rPr>
                <w:noProof/>
                <w:lang w:val="ro-RO"/>
              </w:rPr>
            </w:pPr>
          </w:p>
        </w:tc>
        <w:tc>
          <w:tcPr>
            <w:tcW w:w="1618" w:type="dxa"/>
            <w:shd w:val="clear" w:color="auto" w:fill="auto"/>
          </w:tcPr>
          <w:p w14:paraId="2420B03F" w14:textId="77777777" w:rsidR="0089490E" w:rsidRPr="00F07553" w:rsidRDefault="0089490E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rFonts w:eastAsia="Times New Roman"/>
                <w:noProof/>
                <w:lang w:val="ro-RO"/>
              </w:rPr>
              <w:t>2 ore</w:t>
            </w:r>
          </w:p>
        </w:tc>
      </w:tr>
      <w:tr w:rsidR="009749C0" w:rsidRPr="00F07553" w14:paraId="06FCDD3A" w14:textId="77777777" w:rsidTr="00562304">
        <w:trPr>
          <w:trHeight w:val="20"/>
        </w:trPr>
        <w:tc>
          <w:tcPr>
            <w:tcW w:w="5935" w:type="dxa"/>
            <w:shd w:val="clear" w:color="auto" w:fill="auto"/>
          </w:tcPr>
          <w:p w14:paraId="0F95D1BB" w14:textId="5933BC0C" w:rsidR="0089490E" w:rsidRPr="00F07553" w:rsidRDefault="009749C0" w:rsidP="00F07553">
            <w:pPr>
              <w:pStyle w:val="ListParagraph"/>
              <w:numPr>
                <w:ilvl w:val="0"/>
                <w:numId w:val="32"/>
              </w:numPr>
              <w:rPr>
                <w:lang w:val="ro-RO"/>
              </w:rPr>
            </w:pPr>
            <w:r w:rsidRPr="00F07553">
              <w:rPr>
                <w:lang w:val="ro-RO"/>
              </w:rPr>
              <w:t>Studiu de caz</w:t>
            </w:r>
            <w:r w:rsidR="0089490E" w:rsidRPr="00F07553">
              <w:rPr>
                <w:lang w:val="ro-RO"/>
              </w:rPr>
              <w:t xml:space="preserve"> – </w:t>
            </w:r>
            <w:r w:rsidRPr="00F07553">
              <w:rPr>
                <w:lang w:val="ro-RO"/>
              </w:rPr>
              <w:t xml:space="preserve">greșeli de </w:t>
            </w:r>
            <w:r w:rsidR="0089490E" w:rsidRPr="00F07553">
              <w:rPr>
                <w:lang w:val="ro-RO"/>
              </w:rPr>
              <w:t>subtit</w:t>
            </w:r>
            <w:r w:rsidRPr="00F07553">
              <w:rPr>
                <w:lang w:val="ro-RO"/>
              </w:rPr>
              <w:t>rare, răstălmăciri</w:t>
            </w:r>
          </w:p>
        </w:tc>
        <w:tc>
          <w:tcPr>
            <w:tcW w:w="2903" w:type="dxa"/>
            <w:vMerge/>
            <w:shd w:val="clear" w:color="auto" w:fill="auto"/>
          </w:tcPr>
          <w:p w14:paraId="019BA72A" w14:textId="77777777" w:rsidR="0089490E" w:rsidRPr="00F07553" w:rsidRDefault="0089490E" w:rsidP="00951D76">
            <w:pPr>
              <w:contextualSpacing/>
              <w:jc w:val="center"/>
              <w:rPr>
                <w:noProof/>
                <w:lang w:val="ro-RO"/>
              </w:rPr>
            </w:pPr>
          </w:p>
        </w:tc>
        <w:tc>
          <w:tcPr>
            <w:tcW w:w="1618" w:type="dxa"/>
            <w:shd w:val="clear" w:color="auto" w:fill="auto"/>
          </w:tcPr>
          <w:p w14:paraId="4B689A86" w14:textId="77777777" w:rsidR="0089490E" w:rsidRPr="00F07553" w:rsidRDefault="0089490E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rFonts w:eastAsia="Times New Roman"/>
                <w:noProof/>
                <w:lang w:val="ro-RO"/>
              </w:rPr>
              <w:t>2 ore</w:t>
            </w:r>
          </w:p>
        </w:tc>
      </w:tr>
      <w:tr w:rsidR="009749C0" w:rsidRPr="00F07553" w14:paraId="33340912" w14:textId="77777777" w:rsidTr="00562304">
        <w:trPr>
          <w:trHeight w:val="20"/>
        </w:trPr>
        <w:tc>
          <w:tcPr>
            <w:tcW w:w="5935" w:type="dxa"/>
            <w:shd w:val="clear" w:color="auto" w:fill="auto"/>
          </w:tcPr>
          <w:p w14:paraId="2DBFB125" w14:textId="477B7485" w:rsidR="0089490E" w:rsidRPr="00F07553" w:rsidRDefault="009749C0" w:rsidP="00F07553">
            <w:pPr>
              <w:pStyle w:val="ListParagraph"/>
              <w:numPr>
                <w:ilvl w:val="0"/>
                <w:numId w:val="32"/>
              </w:numPr>
              <w:rPr>
                <w:lang w:val="ro-RO"/>
              </w:rPr>
            </w:pPr>
            <w:r w:rsidRPr="00F07553">
              <w:rPr>
                <w:lang w:val="ro-RO"/>
              </w:rPr>
              <w:t>Pregătire pentru examen</w:t>
            </w:r>
          </w:p>
        </w:tc>
        <w:tc>
          <w:tcPr>
            <w:tcW w:w="2903" w:type="dxa"/>
            <w:vMerge/>
            <w:shd w:val="clear" w:color="auto" w:fill="auto"/>
          </w:tcPr>
          <w:p w14:paraId="2DFB9F53" w14:textId="77777777" w:rsidR="0089490E" w:rsidRPr="00F07553" w:rsidRDefault="0089490E" w:rsidP="00951D76">
            <w:pPr>
              <w:contextualSpacing/>
              <w:jc w:val="center"/>
              <w:rPr>
                <w:noProof/>
                <w:lang w:val="ro-RO"/>
              </w:rPr>
            </w:pPr>
          </w:p>
        </w:tc>
        <w:tc>
          <w:tcPr>
            <w:tcW w:w="1618" w:type="dxa"/>
            <w:shd w:val="clear" w:color="auto" w:fill="auto"/>
          </w:tcPr>
          <w:p w14:paraId="291C068D" w14:textId="77777777" w:rsidR="0089490E" w:rsidRPr="00F07553" w:rsidRDefault="0089490E" w:rsidP="00951D76">
            <w:pPr>
              <w:contextualSpacing/>
              <w:jc w:val="center"/>
              <w:rPr>
                <w:noProof/>
                <w:lang w:val="ro-RO"/>
              </w:rPr>
            </w:pPr>
            <w:r w:rsidRPr="00F07553">
              <w:rPr>
                <w:rFonts w:eastAsia="Times New Roman"/>
                <w:noProof/>
                <w:lang w:val="ro-RO"/>
              </w:rPr>
              <w:t>2 ore</w:t>
            </w:r>
          </w:p>
        </w:tc>
      </w:tr>
      <w:tr w:rsidR="0089490E" w:rsidRPr="00F07553" w14:paraId="5D942942" w14:textId="77777777" w:rsidTr="00562304">
        <w:tc>
          <w:tcPr>
            <w:tcW w:w="10456" w:type="dxa"/>
            <w:gridSpan w:val="3"/>
            <w:shd w:val="clear" w:color="auto" w:fill="auto"/>
          </w:tcPr>
          <w:p w14:paraId="6E4CB3B4" w14:textId="7680A020" w:rsidR="0089490E" w:rsidRPr="00F07553" w:rsidRDefault="0089490E" w:rsidP="00D8040B">
            <w:pPr>
              <w:rPr>
                <w:noProof/>
                <w:lang w:val="ro-RO"/>
              </w:rPr>
            </w:pPr>
            <w:r w:rsidRPr="00F07553">
              <w:rPr>
                <w:noProof/>
                <w:lang w:val="ro-RO"/>
              </w:rPr>
              <w:t>Bibliografie</w:t>
            </w:r>
          </w:p>
          <w:p w14:paraId="63621AE8" w14:textId="77777777" w:rsidR="00D8040B" w:rsidRPr="00F07553" w:rsidRDefault="00D8040B" w:rsidP="00D8040B">
            <w:pPr>
              <w:ind w:left="330" w:hanging="330"/>
              <w:rPr>
                <w:noProof/>
                <w:lang w:val="ro-RO"/>
              </w:rPr>
            </w:pPr>
            <w:r w:rsidRPr="00F07553">
              <w:rPr>
                <w:iCs/>
                <w:noProof/>
                <w:lang w:val="ro-RO"/>
              </w:rPr>
              <w:t xml:space="preserve">Díaz Cintas, J. </w:t>
            </w:r>
            <w:r w:rsidRPr="00F07553">
              <w:rPr>
                <w:i/>
                <w:iCs/>
                <w:noProof/>
                <w:lang w:val="ro-RO"/>
              </w:rPr>
              <w:t xml:space="preserve">New Trends in Audiovisual Translation. </w:t>
            </w:r>
            <w:r w:rsidRPr="00F07553">
              <w:rPr>
                <w:noProof/>
                <w:lang w:val="ro-RO"/>
              </w:rPr>
              <w:t>Multilingual Matters, Bristol-Buffalo-Toronto, 2009</w:t>
            </w:r>
          </w:p>
          <w:p w14:paraId="45AF2852" w14:textId="77777777" w:rsidR="00D8040B" w:rsidRPr="00F07553" w:rsidRDefault="00D8040B" w:rsidP="00D8040B">
            <w:pPr>
              <w:ind w:left="330" w:hanging="330"/>
              <w:rPr>
                <w:iCs/>
                <w:noProof/>
                <w:lang w:val="ro-RO"/>
              </w:rPr>
            </w:pPr>
            <w:r w:rsidRPr="00F07553">
              <w:rPr>
                <w:iCs/>
                <w:noProof/>
                <w:lang w:val="ro-RO"/>
              </w:rPr>
              <w:t>Ford Williams, Gareth</w:t>
            </w:r>
            <w:r w:rsidRPr="00F07553">
              <w:rPr>
                <w:i/>
                <w:iCs/>
                <w:noProof/>
                <w:lang w:val="ro-RO"/>
              </w:rPr>
              <w:t xml:space="preserve">. BBC Online Subtitling Editorial Guidelines </w:t>
            </w:r>
            <w:r w:rsidRPr="00F07553">
              <w:rPr>
                <w:iCs/>
                <w:noProof/>
                <w:lang w:val="ro-RO"/>
              </w:rPr>
              <w:t>V1.1 2009.</w:t>
            </w:r>
          </w:p>
          <w:p w14:paraId="64B779B5" w14:textId="111E011A" w:rsidR="00CA5091" w:rsidRPr="00F07553" w:rsidRDefault="00CA5091" w:rsidP="00D8040B">
            <w:pPr>
              <w:ind w:left="330" w:hanging="330"/>
              <w:rPr>
                <w:rStyle w:val="Hyperlink"/>
                <w:noProof/>
                <w:color w:val="auto"/>
                <w:u w:val="none"/>
                <w:lang w:val="ro-RO"/>
              </w:rPr>
            </w:pPr>
            <w:r w:rsidRPr="00F07553">
              <w:rPr>
                <w:rStyle w:val="Hyperlink"/>
                <w:noProof/>
                <w:color w:val="auto"/>
                <w:u w:val="none"/>
                <w:lang w:val="ro-RO"/>
              </w:rPr>
              <w:t xml:space="preserve">Jüngst, Heike E. </w:t>
            </w:r>
            <w:r w:rsidRPr="00F07553">
              <w:rPr>
                <w:rStyle w:val="Hyperlink"/>
                <w:i/>
                <w:noProof/>
                <w:color w:val="auto"/>
                <w:u w:val="none"/>
                <w:lang w:val="ro-RO"/>
              </w:rPr>
              <w:t>Audiovisuelles Übersetzen</w:t>
            </w:r>
            <w:r w:rsidRPr="00F07553">
              <w:rPr>
                <w:rStyle w:val="Hyperlink"/>
                <w:noProof/>
                <w:color w:val="auto"/>
                <w:u w:val="none"/>
                <w:lang w:val="ro-RO"/>
              </w:rPr>
              <w:t xml:space="preserve">. </w:t>
            </w:r>
            <w:r w:rsidRPr="00F07553">
              <w:rPr>
                <w:rStyle w:val="Hyperlink"/>
                <w:i/>
                <w:noProof/>
                <w:color w:val="auto"/>
                <w:u w:val="none"/>
                <w:lang w:val="ro-RO"/>
              </w:rPr>
              <w:t xml:space="preserve">Ein Lehr- und Arbeitsbuch, </w:t>
            </w:r>
            <w:r w:rsidRPr="00F07553">
              <w:rPr>
                <w:rStyle w:val="Hyperlink"/>
                <w:noProof/>
                <w:color w:val="auto"/>
                <w:u w:val="none"/>
                <w:lang w:val="ro-RO"/>
              </w:rPr>
              <w:t>Narr Verlag, Tübingen, 2010.</w:t>
            </w:r>
          </w:p>
          <w:p w14:paraId="6DC5128E" w14:textId="3C417036" w:rsidR="00CA5091" w:rsidRPr="00F07553" w:rsidRDefault="00CA5091" w:rsidP="00D8040B">
            <w:pPr>
              <w:ind w:left="330" w:hanging="330"/>
              <w:rPr>
                <w:rStyle w:val="Hyperlink"/>
                <w:noProof/>
                <w:color w:val="auto"/>
                <w:u w:val="none"/>
                <w:lang w:val="ro-RO"/>
              </w:rPr>
            </w:pPr>
            <w:r w:rsidRPr="00F07553">
              <w:rPr>
                <w:rStyle w:val="Hyperlink"/>
                <w:noProof/>
                <w:color w:val="auto"/>
                <w:u w:val="none"/>
                <w:lang w:val="ro-RO"/>
              </w:rPr>
              <w:t xml:space="preserve">Meurer, Ulrich (Hg.). </w:t>
            </w:r>
            <w:r w:rsidRPr="00F07553">
              <w:rPr>
                <w:rStyle w:val="Hyperlink"/>
                <w:i/>
                <w:noProof/>
                <w:color w:val="auto"/>
                <w:u w:val="none"/>
                <w:lang w:val="ro-RO"/>
              </w:rPr>
              <w:t>Übersetzung und Film,</w:t>
            </w:r>
            <w:r w:rsidRPr="00F07553">
              <w:rPr>
                <w:rStyle w:val="Hyperlink"/>
                <w:noProof/>
                <w:color w:val="auto"/>
                <w:u w:val="none"/>
                <w:lang w:val="ro-RO"/>
              </w:rPr>
              <w:t xml:space="preserve"> Transcript, Bielefeld, 2012.</w:t>
            </w:r>
          </w:p>
          <w:p w14:paraId="3C65D0D1" w14:textId="15F1DF37" w:rsidR="00CA5091" w:rsidRPr="00F07553" w:rsidRDefault="00CA5091" w:rsidP="00D8040B">
            <w:pPr>
              <w:ind w:left="330" w:hanging="330"/>
              <w:rPr>
                <w:rStyle w:val="Hyperlink"/>
                <w:noProof/>
                <w:color w:val="auto"/>
                <w:u w:val="none"/>
                <w:lang w:val="ro-RO"/>
              </w:rPr>
            </w:pPr>
            <w:r w:rsidRPr="00F07553">
              <w:rPr>
                <w:rStyle w:val="Hyperlink"/>
                <w:noProof/>
                <w:color w:val="auto"/>
                <w:u w:val="none"/>
                <w:lang w:val="ro-RO"/>
              </w:rPr>
              <w:t xml:space="preserve">Sęk, Kwiryna. Die Übertragung von Witzen in der audiovisuellen Übersetzung am Beispiel der Filmserie Shrek. In: Bartoszewicz, I/ Małgorzewicz, A (Hg.). </w:t>
            </w:r>
            <w:r w:rsidRPr="00F07553">
              <w:rPr>
                <w:rStyle w:val="Hyperlink"/>
                <w:i/>
                <w:noProof/>
                <w:color w:val="auto"/>
                <w:u w:val="none"/>
                <w:lang w:val="ro-RO"/>
              </w:rPr>
              <w:t>Translationsforschung. Methoden, Ergebnisse, Perspektiven. Studia Translatorica 5.</w:t>
            </w:r>
            <w:r w:rsidRPr="00F07553">
              <w:rPr>
                <w:rStyle w:val="Hyperlink"/>
                <w:noProof/>
                <w:color w:val="auto"/>
                <w:u w:val="none"/>
                <w:lang w:val="ro-RO"/>
              </w:rPr>
              <w:t>, Neisse Verlag, Wrocław – Dresden 2014, p. 273-295.</w:t>
            </w:r>
          </w:p>
          <w:p w14:paraId="058F775C" w14:textId="77777777" w:rsidR="00D8040B" w:rsidRDefault="00D8040B" w:rsidP="00D8040B">
            <w:pPr>
              <w:rPr>
                <w:rStyle w:val="Hyperlink"/>
                <w:noProof/>
                <w:color w:val="auto"/>
                <w:u w:val="none"/>
                <w:lang w:val="ro-RO"/>
              </w:rPr>
            </w:pPr>
          </w:p>
          <w:p w14:paraId="7B0CFC8C" w14:textId="0E5C49FF" w:rsidR="00CA5091" w:rsidRPr="00F07553" w:rsidRDefault="00CA5091" w:rsidP="00D8040B">
            <w:pPr>
              <w:rPr>
                <w:rStyle w:val="Hyperlink"/>
                <w:noProof/>
                <w:color w:val="auto"/>
                <w:u w:val="none"/>
                <w:lang w:val="ro-RO"/>
              </w:rPr>
            </w:pPr>
            <w:r w:rsidRPr="00F07553">
              <w:rPr>
                <w:rStyle w:val="Hyperlink"/>
                <w:noProof/>
                <w:color w:val="auto"/>
                <w:u w:val="none"/>
                <w:lang w:val="ro-RO"/>
              </w:rPr>
              <w:t>Surse online</w:t>
            </w:r>
          </w:p>
          <w:p w14:paraId="0F96FB20" w14:textId="77777777" w:rsidR="0089490E" w:rsidRPr="00F07553" w:rsidRDefault="00185C1B" w:rsidP="00D8040B">
            <w:pPr>
              <w:rPr>
                <w:noProof/>
                <w:lang w:val="ro-RO"/>
              </w:rPr>
            </w:pPr>
            <w:hyperlink r:id="rId8" w:history="1">
              <w:r w:rsidR="0089490E" w:rsidRPr="00F07553">
                <w:rPr>
                  <w:rStyle w:val="Hyperlink"/>
                  <w:noProof/>
                  <w:lang w:val="ro-RO"/>
                </w:rPr>
                <w:t>https://www.ted.com/participate/translate/guidelines</w:t>
              </w:r>
            </w:hyperlink>
          </w:p>
          <w:p w14:paraId="2E2CC27C" w14:textId="77777777" w:rsidR="0089490E" w:rsidRPr="00F07553" w:rsidRDefault="00185C1B" w:rsidP="00D8040B">
            <w:pPr>
              <w:rPr>
                <w:noProof/>
                <w:lang w:val="ro-RO"/>
              </w:rPr>
            </w:pPr>
            <w:hyperlink r:id="rId9" w:history="1">
              <w:r w:rsidR="0089490E" w:rsidRPr="00F07553">
                <w:rPr>
                  <w:rStyle w:val="Hyperlink"/>
                  <w:noProof/>
                  <w:lang w:val="ro-RO"/>
                </w:rPr>
                <w:t>http://translations.ted.org/wiki/How_to_break_lines</w:t>
              </w:r>
            </w:hyperlink>
          </w:p>
          <w:p w14:paraId="062DC9F2" w14:textId="77777777" w:rsidR="0089490E" w:rsidRPr="00F07553" w:rsidRDefault="00185C1B" w:rsidP="00D8040B">
            <w:pPr>
              <w:rPr>
                <w:noProof/>
                <w:lang w:val="ro-RO"/>
              </w:rPr>
            </w:pPr>
            <w:hyperlink r:id="rId10" w:history="1">
              <w:r w:rsidR="0089490E" w:rsidRPr="00F07553">
                <w:rPr>
                  <w:rStyle w:val="Hyperlink"/>
                  <w:noProof/>
                  <w:lang w:val="ro-RO"/>
                </w:rPr>
                <w:t>http://translations.ted.org/wiki/How_to_Compress_Subtitles</w:t>
              </w:r>
            </w:hyperlink>
          </w:p>
          <w:p w14:paraId="54461636" w14:textId="77777777" w:rsidR="0089490E" w:rsidRPr="00F07553" w:rsidRDefault="00185C1B" w:rsidP="00D8040B">
            <w:pPr>
              <w:rPr>
                <w:rStyle w:val="Hyperlink"/>
                <w:noProof/>
                <w:lang w:val="ro-RO"/>
              </w:rPr>
            </w:pPr>
            <w:hyperlink r:id="rId11" w:history="1">
              <w:r w:rsidR="0089490E" w:rsidRPr="00F07553">
                <w:rPr>
                  <w:rStyle w:val="Hyperlink"/>
                  <w:noProof/>
                  <w:lang w:val="ro-RO"/>
                </w:rPr>
                <w:t>https://www.ted.com/participate/translate/subtitling-resources</w:t>
              </w:r>
            </w:hyperlink>
          </w:p>
          <w:p w14:paraId="62BF166A" w14:textId="77777777" w:rsidR="0060231F" w:rsidRPr="00F07553" w:rsidRDefault="0060231F" w:rsidP="00D8040B">
            <w:pPr>
              <w:rPr>
                <w:rStyle w:val="Hyperlink"/>
                <w:noProof/>
                <w:lang w:val="ro-RO"/>
              </w:rPr>
            </w:pPr>
          </w:p>
          <w:p w14:paraId="119F26E3" w14:textId="2EAE2B27" w:rsidR="0060231F" w:rsidRPr="00F07553" w:rsidRDefault="0060231F" w:rsidP="00D8040B">
            <w:pPr>
              <w:rPr>
                <w:lang w:val="ro-RO"/>
              </w:rPr>
            </w:pPr>
            <w:r w:rsidRPr="00F07553">
              <w:rPr>
                <w:lang w:val="ro-RO"/>
              </w:rPr>
              <w:t>Programe demonstrative pentru subtitrare:</w:t>
            </w:r>
          </w:p>
          <w:p w14:paraId="3FCA3E9E" w14:textId="77777777" w:rsidR="0060231F" w:rsidRPr="00F07553" w:rsidRDefault="0060231F" w:rsidP="00D8040B">
            <w:pPr>
              <w:rPr>
                <w:i/>
                <w:iCs/>
                <w:lang w:val="ro-RO"/>
              </w:rPr>
            </w:pPr>
            <w:r w:rsidRPr="00F07553">
              <w:rPr>
                <w:i/>
                <w:iCs/>
                <w:lang w:val="ro-RO"/>
              </w:rPr>
              <w:t>Subtitle Edit</w:t>
            </w:r>
          </w:p>
          <w:p w14:paraId="1142F6A5" w14:textId="77777777" w:rsidR="0060231F" w:rsidRPr="00F07553" w:rsidRDefault="0060231F" w:rsidP="00D8040B">
            <w:pPr>
              <w:rPr>
                <w:i/>
                <w:iCs/>
                <w:lang w:val="ro-RO"/>
              </w:rPr>
            </w:pPr>
            <w:r w:rsidRPr="00F07553">
              <w:rPr>
                <w:i/>
                <w:iCs/>
                <w:lang w:val="ro-RO"/>
              </w:rPr>
              <w:t>memoQ</w:t>
            </w:r>
          </w:p>
          <w:p w14:paraId="25A8F38D" w14:textId="5F850BBF" w:rsidR="0060231F" w:rsidRPr="00F07553" w:rsidRDefault="0060231F" w:rsidP="00D8040B">
            <w:pPr>
              <w:rPr>
                <w:noProof/>
                <w:lang w:val="ro-RO"/>
              </w:rPr>
            </w:pPr>
            <w:r w:rsidRPr="00F07553">
              <w:rPr>
                <w:i/>
                <w:iCs/>
                <w:lang w:val="ro-RO"/>
              </w:rPr>
              <w:t>SDL Trados</w:t>
            </w:r>
          </w:p>
        </w:tc>
      </w:tr>
    </w:tbl>
    <w:p w14:paraId="17FFBC4B" w14:textId="77777777" w:rsidR="00744DDD" w:rsidRPr="006E6D2D" w:rsidRDefault="00744DDD" w:rsidP="00951D76">
      <w:pPr>
        <w:contextualSpacing/>
        <w:rPr>
          <w:b/>
          <w:noProof/>
          <w:lang w:val="ro-RO"/>
        </w:rPr>
      </w:pPr>
    </w:p>
    <w:p w14:paraId="48E751A0" w14:textId="77777777" w:rsidR="008027E9" w:rsidRPr="006E6D2D" w:rsidRDefault="008027E9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9. Coroborarea con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inuturilor disciplinei cu a</w:t>
      </w:r>
      <w:r w:rsidR="00217BE4" w:rsidRPr="006E6D2D">
        <w:rPr>
          <w:b/>
          <w:noProof/>
          <w:lang w:val="ro-RO"/>
        </w:rPr>
        <w:t>ș</w:t>
      </w:r>
      <w:r w:rsidRPr="006E6D2D">
        <w:rPr>
          <w:b/>
          <w:noProof/>
          <w:lang w:val="ro-RO"/>
        </w:rPr>
        <w:t>teptările reprezentan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ilor comunită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ii epistemice, asocia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 xml:space="preserve">iilor profesionale </w:t>
      </w:r>
      <w:r w:rsidR="00217BE4" w:rsidRPr="006E6D2D">
        <w:rPr>
          <w:b/>
          <w:noProof/>
          <w:lang w:val="ro-RO"/>
        </w:rPr>
        <w:t>ș</w:t>
      </w:r>
      <w:r w:rsidRPr="006E6D2D">
        <w:rPr>
          <w:b/>
          <w:noProof/>
          <w:lang w:val="ro-RO"/>
        </w:rPr>
        <w:t>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1A5A0F" w14:paraId="337608AF" w14:textId="77777777" w:rsidTr="00AA469C">
        <w:tc>
          <w:tcPr>
            <w:tcW w:w="10682" w:type="dxa"/>
          </w:tcPr>
          <w:p w14:paraId="6D3352CB" w14:textId="70DA387A" w:rsidR="00B04225" w:rsidRPr="006E6D2D" w:rsidRDefault="00B04225" w:rsidP="00951D76">
            <w:pPr>
              <w:ind w:right="-3"/>
              <w:contextualSpacing/>
              <w:jc w:val="both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 xml:space="preserve">Fiind o activitate mentală, al cărei scop este să transpună texte </w:t>
            </w:r>
            <w:r w:rsidR="00D8040B" w:rsidRPr="006E6D2D">
              <w:rPr>
                <w:noProof/>
                <w:lang w:val="ro-RO"/>
              </w:rPr>
              <w:t xml:space="preserve">subtitrate </w:t>
            </w:r>
            <w:r w:rsidR="00D8040B">
              <w:rPr>
                <w:noProof/>
                <w:lang w:val="ro-RO"/>
              </w:rPr>
              <w:t>(de larg interes și de specialitate</w:t>
            </w:r>
            <w:r w:rsidRPr="006E6D2D">
              <w:rPr>
                <w:noProof/>
                <w:lang w:val="ro-RO"/>
              </w:rPr>
              <w:t>) dintr-o limbă în alta, traducerea impune celor care o efectuează anumite obliga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iuni ce decurg din însă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natura ei. Răspunzător pentru traducere este exclusiv traducătorul/subtitratorul, oricare ar fi rela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iile sau în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elegerea care îl obligă fa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 xml:space="preserve">ă de persoanele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institu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iile ce se folosesc de traducere.</w:t>
            </w:r>
          </w:p>
          <w:p w14:paraId="64FC369F" w14:textId="77777777" w:rsidR="00B04225" w:rsidRPr="006E6D2D" w:rsidRDefault="00B04225" w:rsidP="00951D76">
            <w:pPr>
              <w:ind w:right="-3"/>
              <w:contextualSpacing/>
              <w:jc w:val="both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lastRenderedPageBreak/>
              <w:tab/>
              <w:t xml:space="preserve">Subtitratorul trebuie să cunoască bine limba din care traduce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i, ceea ce este si mai important, să stăpânească la perfec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ie limba în care traduce. Pe lângă acestea, el trebuie să dispună de o cultură largă, să cunoască destul de bine subiectul despre care este vorba si să refuze să lucreze într-un domeniu pe care îl cunoa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 xml:space="preserve">te aproximativ sau îl ignoră, ceea ce se referă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la îndemânarea tehnică a programelor de subtitrare.</w:t>
            </w:r>
          </w:p>
          <w:p w14:paraId="3AC85BC9" w14:textId="632C015F" w:rsidR="006F1AC4" w:rsidRPr="006E6D2D" w:rsidRDefault="00B04225" w:rsidP="00951D76">
            <w:pPr>
              <w:contextualSpacing/>
              <w:jc w:val="both"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ab/>
              <w:t>În activitatea sa profesională, traducătorul va evita orice concuren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ă necinstită; mai ales, el nu va fi de acord cu o remunera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 xml:space="preserve">ie mai mică decât cea prevăzută de lege, de anumite decizii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uzan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e sau de hotărârea organiza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 xml:space="preserve">iei sale profesionale. Traducătorul/subtitratorul este obligat să respecte interesele legitime ale persoanelor </w:t>
            </w:r>
            <w:r w:rsidR="00217BE4" w:rsidRPr="006E6D2D">
              <w:rPr>
                <w:noProof/>
                <w:lang w:val="ro-RO"/>
              </w:rPr>
              <w:t>ș</w:t>
            </w:r>
            <w:r w:rsidRPr="006E6D2D">
              <w:rPr>
                <w:noProof/>
                <w:lang w:val="ro-RO"/>
              </w:rPr>
              <w:t>i institu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iilor care îi folosesc traducerea, considerând drept secret profesional toate informa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iile pe care le poate căpăta lucrând la traducerea</w:t>
            </w:r>
            <w:r w:rsidR="00D8040B">
              <w:rPr>
                <w:noProof/>
                <w:lang w:val="ro-RO"/>
              </w:rPr>
              <w:t>/subtitrarea</w:t>
            </w:r>
            <w:r w:rsidRPr="006E6D2D">
              <w:rPr>
                <w:noProof/>
                <w:lang w:val="ro-RO"/>
              </w:rPr>
              <w:t xml:space="preserve"> încredin</w:t>
            </w:r>
            <w:r w:rsidR="00217BE4" w:rsidRPr="006E6D2D">
              <w:rPr>
                <w:noProof/>
                <w:lang w:val="ro-RO"/>
              </w:rPr>
              <w:t>ț</w:t>
            </w:r>
            <w:r w:rsidRPr="006E6D2D">
              <w:rPr>
                <w:noProof/>
                <w:lang w:val="ro-RO"/>
              </w:rPr>
              <w:t>ată</w:t>
            </w:r>
            <w:r w:rsidR="00D8040B">
              <w:rPr>
                <w:noProof/>
                <w:lang w:val="ro-RO"/>
              </w:rPr>
              <w:t>, până când produsul devine accesibili publicului larg</w:t>
            </w:r>
            <w:r w:rsidRPr="006E6D2D">
              <w:rPr>
                <w:noProof/>
                <w:lang w:val="ro-RO"/>
              </w:rPr>
              <w:t>.</w:t>
            </w:r>
          </w:p>
        </w:tc>
      </w:tr>
    </w:tbl>
    <w:p w14:paraId="5237F32C" w14:textId="77777777" w:rsidR="00D00FBE" w:rsidRPr="006E6D2D" w:rsidRDefault="00D00FBE" w:rsidP="00951D76">
      <w:pPr>
        <w:contextualSpacing/>
        <w:rPr>
          <w:b/>
          <w:noProof/>
          <w:lang w:val="ro-RO"/>
        </w:rPr>
      </w:pPr>
    </w:p>
    <w:p w14:paraId="4778B168" w14:textId="77777777" w:rsidR="008027E9" w:rsidRPr="006E6D2D" w:rsidRDefault="008027E9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10. Evaluare</w:t>
      </w:r>
    </w:p>
    <w:p w14:paraId="7C3AB520" w14:textId="77777777" w:rsidR="001C6FB6" w:rsidRPr="006E6D2D" w:rsidRDefault="001C6FB6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>A.</w:t>
      </w:r>
      <w:r w:rsidR="00392608" w:rsidRPr="006E6D2D">
        <w:rPr>
          <w:b/>
          <w:noProof/>
          <w:lang w:val="ro-RO"/>
        </w:rPr>
        <w:t xml:space="preserve"> </w:t>
      </w:r>
      <w:r w:rsidRPr="006E6D2D">
        <w:rPr>
          <w:b/>
          <w:noProof/>
          <w:lang w:val="ro-RO"/>
        </w:rPr>
        <w:t>Condi</w:t>
      </w:r>
      <w:r w:rsidR="00217BE4" w:rsidRPr="006E6D2D">
        <w:rPr>
          <w:b/>
          <w:noProof/>
          <w:lang w:val="ro-RO"/>
        </w:rPr>
        <w:t>ț</w:t>
      </w:r>
      <w:r w:rsidRPr="006E6D2D">
        <w:rPr>
          <w:b/>
          <w:noProof/>
          <w:lang w:val="ro-RO"/>
        </w:rPr>
        <w:t>ii de îndeplinit pentru prezentarea la evaluare</w:t>
      </w:r>
    </w:p>
    <w:p w14:paraId="73437E5D" w14:textId="77777777" w:rsidR="00F76E92" w:rsidRDefault="00F76E92" w:rsidP="00F76E92">
      <w:pPr>
        <w:numPr>
          <w:ilvl w:val="0"/>
          <w:numId w:val="27"/>
        </w:numPr>
        <w:snapToGrid w:val="0"/>
        <w:contextualSpacing/>
        <w:rPr>
          <w:noProof/>
          <w:lang w:val="ro-RO"/>
        </w:rPr>
      </w:pPr>
      <w:r w:rsidRPr="00F76E92">
        <w:rPr>
          <w:noProof/>
          <w:lang w:val="ro-RO"/>
        </w:rPr>
        <w:t xml:space="preserve">participare activă la activitățile </w:t>
      </w:r>
      <w:r>
        <w:rPr>
          <w:noProof/>
          <w:lang w:val="ro-RO"/>
        </w:rPr>
        <w:t xml:space="preserve">frontale, </w:t>
      </w:r>
      <w:r w:rsidRPr="00F76E92">
        <w:rPr>
          <w:noProof/>
          <w:lang w:val="ro-RO"/>
        </w:rPr>
        <w:t>individuale</w:t>
      </w:r>
      <w:r>
        <w:rPr>
          <w:noProof/>
          <w:lang w:val="ro-RO"/>
        </w:rPr>
        <w:t>, în perechi</w:t>
      </w:r>
      <w:r w:rsidRPr="00F76E92">
        <w:rPr>
          <w:noProof/>
          <w:lang w:val="ro-RO"/>
        </w:rPr>
        <w:t xml:space="preserve"> și de grup în cadrul orelor, efectuarea </w:t>
      </w:r>
      <w:r>
        <w:rPr>
          <w:noProof/>
          <w:lang w:val="ro-RO"/>
        </w:rPr>
        <w:t>subtitrărilor</w:t>
      </w:r>
      <w:r w:rsidRPr="00F76E92">
        <w:rPr>
          <w:noProof/>
          <w:lang w:val="ro-RO"/>
        </w:rPr>
        <w:t>;</w:t>
      </w:r>
    </w:p>
    <w:p w14:paraId="7F53ABCB" w14:textId="77777777" w:rsidR="00F76E92" w:rsidRPr="00F76E92" w:rsidRDefault="00F76E92" w:rsidP="00F76E92">
      <w:pPr>
        <w:pStyle w:val="ListParagraph"/>
        <w:numPr>
          <w:ilvl w:val="0"/>
          <w:numId w:val="27"/>
        </w:numPr>
        <w:jc w:val="both"/>
        <w:rPr>
          <w:bCs/>
          <w:noProof/>
          <w:lang w:val="ro-RO"/>
        </w:rPr>
      </w:pPr>
      <w:r>
        <w:rPr>
          <w:bCs/>
          <w:noProof/>
          <w:lang w:val="ro-RO"/>
        </w:rPr>
        <w:t>calitate adecvată a</w:t>
      </w:r>
      <w:r w:rsidRPr="00F76E92">
        <w:rPr>
          <w:bCs/>
          <w:noProof/>
          <w:lang w:val="ro-RO"/>
        </w:rPr>
        <w:t xml:space="preserve"> subtitrărilor efectuate și a traducerilor din punct de vedere gramatical, stilistic și al scopului.</w:t>
      </w:r>
    </w:p>
    <w:p w14:paraId="47F28E3F" w14:textId="2421C435" w:rsidR="00F76E92" w:rsidRPr="00F76E92" w:rsidRDefault="00F76E92" w:rsidP="00F76E92">
      <w:pPr>
        <w:numPr>
          <w:ilvl w:val="0"/>
          <w:numId w:val="27"/>
        </w:numPr>
        <w:snapToGrid w:val="0"/>
        <w:contextualSpacing/>
        <w:rPr>
          <w:noProof/>
          <w:lang w:val="ro-RO"/>
        </w:rPr>
      </w:pPr>
      <w:r w:rsidRPr="00F76E92">
        <w:rPr>
          <w:noProof/>
          <w:lang w:val="ro-RO"/>
        </w:rPr>
        <w:t>se permite un maxim de absențe stabilite în Regulamentul de studii; orele absente pot fi recuperate pe parcursul semestrului sau în săptămâna premergătoare sesiunii de examene;</w:t>
      </w:r>
    </w:p>
    <w:p w14:paraId="3F47D856" w14:textId="3E70E192" w:rsidR="00F76E92" w:rsidRDefault="00F76E92" w:rsidP="00F76E92">
      <w:pPr>
        <w:numPr>
          <w:ilvl w:val="0"/>
          <w:numId w:val="27"/>
        </w:numPr>
        <w:snapToGrid w:val="0"/>
        <w:contextualSpacing/>
        <w:rPr>
          <w:noProof/>
          <w:lang w:val="ro-RO"/>
        </w:rPr>
      </w:pPr>
      <w:r w:rsidRPr="00F76E92">
        <w:rPr>
          <w:noProof/>
          <w:lang w:val="ro-RO"/>
        </w:rPr>
        <w:t>dobândirea a cel puțin 50% din punctajul total;</w:t>
      </w:r>
    </w:p>
    <w:p w14:paraId="0B8A8059" w14:textId="77777777" w:rsidR="004870E6" w:rsidRPr="00F76E92" w:rsidRDefault="004870E6" w:rsidP="004870E6">
      <w:pPr>
        <w:snapToGrid w:val="0"/>
        <w:ind w:left="1068"/>
        <w:contextualSpacing/>
        <w:rPr>
          <w:noProof/>
          <w:lang w:val="ro-RO"/>
        </w:rPr>
      </w:pPr>
    </w:p>
    <w:p w14:paraId="2424FD29" w14:textId="77777777" w:rsidR="001C6FB6" w:rsidRPr="006E6D2D" w:rsidRDefault="001C6FB6" w:rsidP="00951D76">
      <w:pPr>
        <w:contextualSpacing/>
        <w:rPr>
          <w:b/>
          <w:noProof/>
          <w:lang w:val="ro-RO"/>
        </w:rPr>
      </w:pPr>
      <w:r w:rsidRPr="006E6D2D">
        <w:rPr>
          <w:b/>
          <w:noProof/>
          <w:lang w:val="ro-RO"/>
        </w:rPr>
        <w:t xml:space="preserve">B. Criterii, metode </w:t>
      </w:r>
      <w:r w:rsidR="00217BE4" w:rsidRPr="006E6D2D">
        <w:rPr>
          <w:b/>
          <w:noProof/>
          <w:lang w:val="ro-RO"/>
        </w:rPr>
        <w:t>ș</w:t>
      </w:r>
      <w:r w:rsidRPr="006E6D2D">
        <w:rPr>
          <w:b/>
          <w:noProof/>
          <w:lang w:val="ro-RO"/>
        </w:rPr>
        <w:t>i ponderi în 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1619"/>
        <w:gridCol w:w="3330"/>
        <w:gridCol w:w="3150"/>
        <w:gridCol w:w="1641"/>
      </w:tblGrid>
      <w:tr w:rsidR="008027E9" w:rsidRPr="006E6D2D" w14:paraId="09535B48" w14:textId="77777777" w:rsidTr="00226C28">
        <w:tc>
          <w:tcPr>
            <w:tcW w:w="2335" w:type="dxa"/>
            <w:gridSpan w:val="2"/>
          </w:tcPr>
          <w:p w14:paraId="3A10D886" w14:textId="77777777" w:rsidR="008027E9" w:rsidRPr="006E6D2D" w:rsidRDefault="008027E9" w:rsidP="00F07553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Tip activitate</w:t>
            </w:r>
          </w:p>
        </w:tc>
        <w:tc>
          <w:tcPr>
            <w:tcW w:w="3330" w:type="dxa"/>
            <w:shd w:val="clear" w:color="auto" w:fill="auto"/>
          </w:tcPr>
          <w:p w14:paraId="334F6339" w14:textId="77777777" w:rsidR="008027E9" w:rsidRPr="006E6D2D" w:rsidRDefault="008027E9" w:rsidP="00F07553">
            <w:pPr>
              <w:ind w:left="46" w:right="-154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10.1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Criterii de evaluare</w:t>
            </w:r>
          </w:p>
        </w:tc>
        <w:tc>
          <w:tcPr>
            <w:tcW w:w="3150" w:type="dxa"/>
          </w:tcPr>
          <w:p w14:paraId="079E53AF" w14:textId="77777777" w:rsidR="008027E9" w:rsidRPr="006E6D2D" w:rsidRDefault="008027E9" w:rsidP="00F07553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10.2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</w:t>
            </w:r>
            <w:r w:rsidR="00AB4356" w:rsidRPr="006E6D2D">
              <w:rPr>
                <w:noProof/>
                <w:lang w:val="ro-RO"/>
              </w:rPr>
              <w:t>M</w:t>
            </w:r>
            <w:r w:rsidRPr="006E6D2D">
              <w:rPr>
                <w:noProof/>
                <w:lang w:val="ro-RO"/>
              </w:rPr>
              <w:t>etode de evaluare</w:t>
            </w:r>
          </w:p>
        </w:tc>
        <w:tc>
          <w:tcPr>
            <w:tcW w:w="1641" w:type="dxa"/>
          </w:tcPr>
          <w:p w14:paraId="5FFD091C" w14:textId="77777777" w:rsidR="008027E9" w:rsidRPr="006E6D2D" w:rsidRDefault="008027E9" w:rsidP="00F07553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10.3</w:t>
            </w:r>
            <w:r w:rsidR="00E3215E" w:rsidRPr="006E6D2D">
              <w:rPr>
                <w:noProof/>
                <w:lang w:val="ro-RO"/>
              </w:rPr>
              <w:t>.</w:t>
            </w:r>
            <w:r w:rsidRPr="006E6D2D">
              <w:rPr>
                <w:noProof/>
                <w:lang w:val="ro-RO"/>
              </w:rPr>
              <w:t xml:space="preserve"> Pondere din nota finală</w:t>
            </w:r>
          </w:p>
        </w:tc>
      </w:tr>
      <w:tr w:rsidR="00217BE4" w:rsidRPr="006E6D2D" w14:paraId="40BFF6F7" w14:textId="77777777" w:rsidTr="00226C28">
        <w:trPr>
          <w:trHeight w:val="135"/>
        </w:trPr>
        <w:tc>
          <w:tcPr>
            <w:tcW w:w="2335" w:type="dxa"/>
            <w:gridSpan w:val="2"/>
          </w:tcPr>
          <w:p w14:paraId="5DE1800B" w14:textId="77777777" w:rsidR="00217BE4" w:rsidRPr="006E6D2D" w:rsidRDefault="00217BE4" w:rsidP="00F07553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10.4. Curs</w:t>
            </w:r>
          </w:p>
        </w:tc>
        <w:tc>
          <w:tcPr>
            <w:tcW w:w="3330" w:type="dxa"/>
            <w:shd w:val="clear" w:color="auto" w:fill="auto"/>
          </w:tcPr>
          <w:p w14:paraId="2EFA0A40" w14:textId="77777777" w:rsidR="00217BE4" w:rsidRPr="006E6D2D" w:rsidRDefault="006E6D2D" w:rsidP="00F07553">
            <w:pPr>
              <w:snapToGrid w:val="0"/>
              <w:ind w:left="105" w:right="85"/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e</w:t>
            </w:r>
            <w:r w:rsidR="00217BE4" w:rsidRPr="006E6D2D">
              <w:rPr>
                <w:noProof/>
                <w:lang w:val="ro-RO"/>
              </w:rPr>
              <w:t>valuarea cunoștințelor teoretice</w:t>
            </w:r>
            <w:r>
              <w:rPr>
                <w:noProof/>
                <w:lang w:val="ro-RO"/>
              </w:rPr>
              <w:t xml:space="preserve"> și practice</w:t>
            </w:r>
          </w:p>
        </w:tc>
        <w:tc>
          <w:tcPr>
            <w:tcW w:w="3150" w:type="dxa"/>
          </w:tcPr>
          <w:p w14:paraId="704F747F" w14:textId="77777777" w:rsidR="00217BE4" w:rsidRDefault="006E6D2D" w:rsidP="00F07553">
            <w:pPr>
              <w:snapToGrid w:val="0"/>
              <w:ind w:right="-20"/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e</w:t>
            </w:r>
            <w:r w:rsidR="00217BE4" w:rsidRPr="006E6D2D">
              <w:rPr>
                <w:noProof/>
                <w:lang w:val="ro-RO"/>
              </w:rPr>
              <w:t>xamen scris</w:t>
            </w:r>
          </w:p>
          <w:p w14:paraId="49681470" w14:textId="2ADC62E7" w:rsidR="000F3D3C" w:rsidRPr="006E6D2D" w:rsidRDefault="000F3D3C" w:rsidP="00F07553">
            <w:pPr>
              <w:snapToGrid w:val="0"/>
              <w:ind w:right="-20"/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crearea unei subtitrări</w:t>
            </w:r>
          </w:p>
        </w:tc>
        <w:tc>
          <w:tcPr>
            <w:tcW w:w="1641" w:type="dxa"/>
          </w:tcPr>
          <w:p w14:paraId="38E4E8B3" w14:textId="5F3584BF" w:rsidR="00217BE4" w:rsidRPr="006E6D2D" w:rsidRDefault="00C12426" w:rsidP="00F07553">
            <w:pPr>
              <w:contextualSpacing/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5</w:t>
            </w:r>
            <w:r w:rsidR="000F3D3C">
              <w:rPr>
                <w:noProof/>
                <w:lang w:val="ro-RO"/>
              </w:rPr>
              <w:t>0</w:t>
            </w:r>
            <w:r w:rsidR="00217BE4" w:rsidRPr="006E6D2D">
              <w:rPr>
                <w:noProof/>
                <w:lang w:val="ro-RO"/>
              </w:rPr>
              <w:t>%</w:t>
            </w:r>
          </w:p>
        </w:tc>
      </w:tr>
      <w:tr w:rsidR="00217BE4" w:rsidRPr="006E6D2D" w14:paraId="4AB91640" w14:textId="77777777" w:rsidTr="00226C28">
        <w:trPr>
          <w:trHeight w:val="135"/>
        </w:trPr>
        <w:tc>
          <w:tcPr>
            <w:tcW w:w="716" w:type="dxa"/>
          </w:tcPr>
          <w:p w14:paraId="1F7236B4" w14:textId="77777777" w:rsidR="00217BE4" w:rsidRPr="006E6D2D" w:rsidRDefault="00217BE4" w:rsidP="00F07553">
            <w:pPr>
              <w:ind w:right="-150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10.5.</w:t>
            </w:r>
          </w:p>
          <w:p w14:paraId="7BA94A1D" w14:textId="77777777" w:rsidR="00217BE4" w:rsidRPr="006E6D2D" w:rsidRDefault="00217BE4" w:rsidP="00F07553">
            <w:pPr>
              <w:ind w:right="-150"/>
              <w:contextualSpacing/>
              <w:rPr>
                <w:noProof/>
                <w:lang w:val="ro-RO"/>
              </w:rPr>
            </w:pPr>
          </w:p>
        </w:tc>
        <w:tc>
          <w:tcPr>
            <w:tcW w:w="1619" w:type="dxa"/>
          </w:tcPr>
          <w:p w14:paraId="288D399E" w14:textId="77777777" w:rsidR="00217BE4" w:rsidRPr="006E6D2D" w:rsidRDefault="002D611E" w:rsidP="00F07553">
            <w:pPr>
              <w:ind w:right="-150"/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Laborator</w:t>
            </w:r>
          </w:p>
        </w:tc>
        <w:tc>
          <w:tcPr>
            <w:tcW w:w="3330" w:type="dxa"/>
            <w:shd w:val="clear" w:color="auto" w:fill="auto"/>
          </w:tcPr>
          <w:p w14:paraId="4CE81845" w14:textId="77777777" w:rsidR="00217BE4" w:rsidRPr="006E6D2D" w:rsidRDefault="00217BE4" w:rsidP="00F07553">
            <w:pPr>
              <w:snapToGrid w:val="0"/>
              <w:ind w:left="105" w:right="85"/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durată, conținut, calitate</w:t>
            </w:r>
            <w:r w:rsidR="006E6D2D">
              <w:rPr>
                <w:noProof/>
                <w:lang w:val="ro-RO"/>
              </w:rPr>
              <w:t xml:space="preserve"> (acuratețe tehnică, lingvistică, culturală, terminologică)</w:t>
            </w:r>
          </w:p>
        </w:tc>
        <w:tc>
          <w:tcPr>
            <w:tcW w:w="3150" w:type="dxa"/>
          </w:tcPr>
          <w:p w14:paraId="7EF7FFE8" w14:textId="43942AEB" w:rsidR="00217BE4" w:rsidRDefault="00F76E92" w:rsidP="00F07553">
            <w:pPr>
              <w:ind w:right="-20"/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a. </w:t>
            </w:r>
            <w:r w:rsidR="006E6D2D" w:rsidRPr="006E6D2D">
              <w:rPr>
                <w:noProof/>
                <w:lang w:val="ro-RO"/>
              </w:rPr>
              <w:t>prezentarea unei subtitrări</w:t>
            </w:r>
            <w:r w:rsidR="000F3D3C">
              <w:rPr>
                <w:noProof/>
                <w:lang w:val="ro-RO"/>
              </w:rPr>
              <w:t xml:space="preserve"> proprii</w:t>
            </w:r>
          </w:p>
          <w:p w14:paraId="0B215641" w14:textId="77777777" w:rsidR="00F76E92" w:rsidRPr="006E6D2D" w:rsidRDefault="00F76E92" w:rsidP="00F07553">
            <w:pPr>
              <w:ind w:right="-20"/>
              <w:contextualSpacing/>
              <w:rPr>
                <w:noProof/>
                <w:lang w:val="ro-RO"/>
              </w:rPr>
            </w:pPr>
            <w:r>
              <w:rPr>
                <w:rFonts w:eastAsia="Times New Roman"/>
                <w:noProof/>
                <w:lang w:val="ro-RO"/>
              </w:rPr>
              <w:t>b. n</w:t>
            </w:r>
            <w:r w:rsidRPr="006E6D2D">
              <w:rPr>
                <w:rFonts w:eastAsia="Times New Roman"/>
                <w:noProof/>
                <w:lang w:val="ro-RO"/>
              </w:rPr>
              <w:t xml:space="preserve">otițe individuale </w:t>
            </w:r>
            <w:r>
              <w:rPr>
                <w:rFonts w:eastAsia="Times New Roman"/>
                <w:noProof/>
                <w:lang w:val="ro-RO"/>
              </w:rPr>
              <w:t>cu</w:t>
            </w:r>
            <w:r w:rsidRPr="006E6D2D">
              <w:rPr>
                <w:rFonts w:eastAsia="Times New Roman"/>
                <w:noProof/>
                <w:lang w:val="ro-RO"/>
              </w:rPr>
              <w:t xml:space="preserve"> greșeli de subtitrare</w:t>
            </w:r>
          </w:p>
        </w:tc>
        <w:tc>
          <w:tcPr>
            <w:tcW w:w="1641" w:type="dxa"/>
          </w:tcPr>
          <w:p w14:paraId="18F6AF8B" w14:textId="61B48ECF" w:rsidR="00217BE4" w:rsidRPr="006E6D2D" w:rsidRDefault="00C12426" w:rsidP="00F07553">
            <w:pPr>
              <w:contextualSpacing/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  <w:r w:rsidR="000F3D3C">
              <w:rPr>
                <w:noProof/>
                <w:lang w:val="ro-RO"/>
              </w:rPr>
              <w:t>0</w:t>
            </w:r>
            <w:r w:rsidR="00217BE4" w:rsidRPr="006E6D2D">
              <w:rPr>
                <w:noProof/>
                <w:lang w:val="ro-RO"/>
              </w:rPr>
              <w:t>%</w:t>
            </w:r>
          </w:p>
        </w:tc>
      </w:tr>
      <w:tr w:rsidR="00F76E92" w:rsidRPr="006E6D2D" w14:paraId="0312BF39" w14:textId="77777777" w:rsidTr="00226C28">
        <w:trPr>
          <w:trHeight w:val="135"/>
        </w:trPr>
        <w:tc>
          <w:tcPr>
            <w:tcW w:w="716" w:type="dxa"/>
          </w:tcPr>
          <w:p w14:paraId="39977C47" w14:textId="77777777" w:rsidR="00F76E92" w:rsidRPr="006E6D2D" w:rsidRDefault="00F76E92" w:rsidP="00F07553">
            <w:pPr>
              <w:ind w:right="-150"/>
              <w:contextualSpacing/>
              <w:rPr>
                <w:noProof/>
              </w:rPr>
            </w:pPr>
            <w:r>
              <w:rPr>
                <w:noProof/>
                <w:lang w:val="ro-RO"/>
              </w:rPr>
              <w:t>10.5</w:t>
            </w:r>
            <w:r>
              <w:rPr>
                <w:noProof/>
              </w:rPr>
              <w:t>’</w:t>
            </w:r>
          </w:p>
        </w:tc>
        <w:tc>
          <w:tcPr>
            <w:tcW w:w="1619" w:type="dxa"/>
          </w:tcPr>
          <w:p w14:paraId="03878045" w14:textId="77777777" w:rsidR="00F76E92" w:rsidRPr="006E6D2D" w:rsidRDefault="00F76E92" w:rsidP="00F07553">
            <w:pPr>
              <w:ind w:right="-150"/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Prezența la ore </w:t>
            </w:r>
          </w:p>
        </w:tc>
        <w:tc>
          <w:tcPr>
            <w:tcW w:w="3330" w:type="dxa"/>
            <w:shd w:val="clear" w:color="auto" w:fill="auto"/>
          </w:tcPr>
          <w:p w14:paraId="00508DB1" w14:textId="77777777" w:rsidR="00F76E92" w:rsidRPr="006E6D2D" w:rsidRDefault="00F76E92" w:rsidP="00F07553">
            <w:pPr>
              <w:snapToGrid w:val="0"/>
              <w:ind w:left="105" w:right="85"/>
              <w:contextualSpacing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p</w:t>
            </w:r>
            <w:r w:rsidRPr="006E6D2D">
              <w:rPr>
                <w:noProof/>
                <w:lang w:val="ro-RO"/>
              </w:rPr>
              <w:t xml:space="preserve">articipare activă </w:t>
            </w:r>
            <w:r>
              <w:rPr>
                <w:noProof/>
                <w:lang w:val="ro-RO"/>
              </w:rPr>
              <w:t>la seminarii</w:t>
            </w:r>
          </w:p>
        </w:tc>
        <w:tc>
          <w:tcPr>
            <w:tcW w:w="3150" w:type="dxa"/>
            <w:vAlign w:val="center"/>
          </w:tcPr>
          <w:p w14:paraId="2D5882BD" w14:textId="77777777" w:rsidR="00F76E92" w:rsidRPr="005F57EA" w:rsidRDefault="00F76E92" w:rsidP="00F07553">
            <w:pPr>
              <w:contextualSpacing/>
              <w:rPr>
                <w:lang w:val="ro-RO"/>
              </w:rPr>
            </w:pPr>
            <w:r w:rsidRPr="005F57EA">
              <w:rPr>
                <w:bCs/>
                <w:iCs/>
                <w:lang w:val="ro-RO"/>
              </w:rPr>
              <w:t>eviden</w:t>
            </w:r>
            <w:r>
              <w:rPr>
                <w:bCs/>
                <w:iCs/>
                <w:lang w:val="ro-RO"/>
              </w:rPr>
              <w:t>ț</w:t>
            </w:r>
            <w:r w:rsidRPr="005F57EA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1641" w:type="dxa"/>
          </w:tcPr>
          <w:p w14:paraId="379C526C" w14:textId="77777777" w:rsidR="00F76E92" w:rsidRPr="006E6D2D" w:rsidRDefault="00F76E92" w:rsidP="00F07553">
            <w:pPr>
              <w:contextualSpacing/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10%</w:t>
            </w:r>
          </w:p>
        </w:tc>
      </w:tr>
      <w:tr w:rsidR="00F76E92" w:rsidRPr="006E6D2D" w14:paraId="58BAB0C4" w14:textId="77777777" w:rsidTr="00AA469C">
        <w:tc>
          <w:tcPr>
            <w:tcW w:w="10456" w:type="dxa"/>
            <w:gridSpan w:val="5"/>
          </w:tcPr>
          <w:p w14:paraId="013E93DA" w14:textId="77777777" w:rsidR="00F76E92" w:rsidRPr="006E6D2D" w:rsidRDefault="00F76E92" w:rsidP="00F07553">
            <w:pPr>
              <w:contextualSpacing/>
              <w:rPr>
                <w:noProof/>
                <w:lang w:val="ro-RO"/>
              </w:rPr>
            </w:pPr>
            <w:r w:rsidRPr="006E6D2D">
              <w:rPr>
                <w:noProof/>
                <w:lang w:val="ro-RO"/>
              </w:rPr>
              <w:t>10.6. Standard minim de performanță</w:t>
            </w:r>
          </w:p>
        </w:tc>
      </w:tr>
      <w:tr w:rsidR="00F76E92" w:rsidRPr="006E6D2D" w14:paraId="381A1848" w14:textId="77777777" w:rsidTr="00AA469C">
        <w:tc>
          <w:tcPr>
            <w:tcW w:w="10456" w:type="dxa"/>
            <w:gridSpan w:val="5"/>
          </w:tcPr>
          <w:p w14:paraId="3FEBFB72" w14:textId="77777777" w:rsidR="00F07553" w:rsidRPr="00F07553" w:rsidRDefault="00F07553" w:rsidP="00F07553">
            <w:pPr>
              <w:ind w:right="-20"/>
              <w:contextualSpacing/>
              <w:rPr>
                <w:lang w:val="ro-RO"/>
              </w:rPr>
            </w:pPr>
            <w:r w:rsidRPr="00F07553">
              <w:rPr>
                <w:spacing w:val="1"/>
                <w:lang w:val="ro-RO"/>
              </w:rPr>
              <w:t>S</w:t>
            </w:r>
            <w:r w:rsidRPr="00F07553">
              <w:rPr>
                <w:lang w:val="ro-RO"/>
              </w:rPr>
              <w:t>tand</w:t>
            </w:r>
            <w:r w:rsidRPr="00F07553">
              <w:rPr>
                <w:spacing w:val="-1"/>
                <w:lang w:val="ro-RO"/>
              </w:rPr>
              <w:t>a</w:t>
            </w:r>
            <w:r w:rsidRPr="00F07553">
              <w:rPr>
                <w:lang w:val="ro-RO"/>
              </w:rPr>
              <w:t>rd minim de p</w:t>
            </w:r>
            <w:r w:rsidRPr="00F07553">
              <w:rPr>
                <w:spacing w:val="-1"/>
                <w:lang w:val="ro-RO"/>
              </w:rPr>
              <w:t>e</w:t>
            </w:r>
            <w:r w:rsidRPr="00F07553">
              <w:rPr>
                <w:lang w:val="ro-RO"/>
              </w:rPr>
              <w:t>r</w:t>
            </w:r>
            <w:r w:rsidRPr="00F07553">
              <w:rPr>
                <w:spacing w:val="-1"/>
                <w:lang w:val="ro-RO"/>
              </w:rPr>
              <w:t>f</w:t>
            </w:r>
            <w:r w:rsidRPr="00F07553">
              <w:rPr>
                <w:lang w:val="ro-RO"/>
              </w:rPr>
              <w:t>o</w:t>
            </w:r>
            <w:r w:rsidRPr="00F07553">
              <w:rPr>
                <w:spacing w:val="-1"/>
                <w:lang w:val="ro-RO"/>
              </w:rPr>
              <w:t>r</w:t>
            </w:r>
            <w:r w:rsidRPr="00F07553">
              <w:rPr>
                <w:lang w:val="ro-RO"/>
              </w:rPr>
              <w:t>man</w:t>
            </w:r>
            <w:r w:rsidRPr="00F07553">
              <w:rPr>
                <w:spacing w:val="2"/>
                <w:lang w:val="ro-RO"/>
              </w:rPr>
              <w:t>ț</w:t>
            </w:r>
            <w:r w:rsidRPr="00F07553">
              <w:rPr>
                <w:spacing w:val="1"/>
                <w:lang w:val="ro-RO"/>
              </w:rPr>
              <w:t>ă: 50%</w:t>
            </w:r>
          </w:p>
          <w:p w14:paraId="65408EB6" w14:textId="77777777" w:rsidR="00F07553" w:rsidRPr="00F07553" w:rsidRDefault="00F07553" w:rsidP="00F07553">
            <w:pPr>
              <w:contextualSpacing/>
              <w:jc w:val="both"/>
              <w:rPr>
                <w:lang w:val="ro-RO"/>
              </w:rPr>
            </w:pPr>
            <w:r w:rsidRPr="00F07553">
              <w:rPr>
                <w:lang w:val="ro-RO"/>
              </w:rPr>
              <w:t>Îndeplinirea activităților didactice obligatorii și achiziționarea competențelor minimale (50%).</w:t>
            </w:r>
          </w:p>
          <w:p w14:paraId="0D1C443D" w14:textId="30526D87" w:rsidR="00F76E92" w:rsidRPr="00F07553" w:rsidRDefault="00F76E92" w:rsidP="00F07553">
            <w:pPr>
              <w:contextualSpacing/>
              <w:jc w:val="both"/>
              <w:rPr>
                <w:lang w:val="ro-RO"/>
              </w:rPr>
            </w:pPr>
            <w:r w:rsidRPr="00F07553">
              <w:rPr>
                <w:lang w:val="ro-RO"/>
              </w:rPr>
              <w:t>Aplicarea adecvată a tehnicilor de traducere/subtitrare și mediere scrisă și orală din limba A în limba B și invers, în domenii de interes larg și semi-specializate;</w:t>
            </w:r>
          </w:p>
          <w:p w14:paraId="10729442" w14:textId="77777777" w:rsidR="00F76E92" w:rsidRPr="00F07553" w:rsidRDefault="00F76E92" w:rsidP="00F07553">
            <w:pPr>
              <w:contextualSpacing/>
              <w:rPr>
                <w:lang w:val="ro-RO"/>
              </w:rPr>
            </w:pPr>
            <w:r w:rsidRPr="00F07553">
              <w:rPr>
                <w:lang w:val="ro-RO"/>
              </w:rPr>
              <w:t>Cunoașterea bună a normelor scrise și nescrise cu privire la tehnica subtitrării (limbaj, cultură) și aplicarea/selectarea lor adecvată.</w:t>
            </w:r>
          </w:p>
          <w:p w14:paraId="16AE4F04" w14:textId="77777777" w:rsidR="00F76E92" w:rsidRPr="00F07553" w:rsidRDefault="00F76E92" w:rsidP="00F07553">
            <w:pPr>
              <w:contextualSpacing/>
              <w:rPr>
                <w:lang w:val="ro-RO"/>
              </w:rPr>
            </w:pPr>
            <w:r w:rsidRPr="00F07553">
              <w:rPr>
                <w:lang w:val="ro-RO"/>
              </w:rPr>
              <w:t>Gestionarea optimă a sarcinilor profesionale și deprinderea executării lor la termen, în mod riguros, eficient și responsabil.</w:t>
            </w:r>
          </w:p>
        </w:tc>
      </w:tr>
    </w:tbl>
    <w:p w14:paraId="5C22551A" w14:textId="77777777" w:rsidR="000268B9" w:rsidRPr="006E6D2D" w:rsidRDefault="000268B9" w:rsidP="00951D76">
      <w:pPr>
        <w:contextualSpacing/>
        <w:rPr>
          <w:noProof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914EE9" w:rsidRPr="002A4B91" w14:paraId="1393BFD1" w14:textId="77777777" w:rsidTr="00BC5CED">
        <w:trPr>
          <w:trHeight w:val="952"/>
        </w:trPr>
        <w:tc>
          <w:tcPr>
            <w:tcW w:w="2250" w:type="dxa"/>
          </w:tcPr>
          <w:p w14:paraId="3AA34B91" w14:textId="77777777" w:rsidR="00914EE9" w:rsidRPr="002A4B91" w:rsidRDefault="00914EE9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2596BAA4" w14:textId="77777777" w:rsidR="00914EE9" w:rsidRPr="002A4B91" w:rsidRDefault="00914EE9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2282EB90" w14:textId="77777777" w:rsidR="00914EE9" w:rsidRPr="002A4B91" w:rsidRDefault="00914EE9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914EE9" w:rsidRPr="002A4B91" w14:paraId="5813BD01" w14:textId="77777777" w:rsidTr="00BC5CED">
        <w:trPr>
          <w:trHeight w:val="952"/>
        </w:trPr>
        <w:tc>
          <w:tcPr>
            <w:tcW w:w="2250" w:type="dxa"/>
          </w:tcPr>
          <w:p w14:paraId="263279DD" w14:textId="77777777" w:rsidR="00914EE9" w:rsidRDefault="00914EE9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7979CAF4" w14:textId="77777777" w:rsidR="00914EE9" w:rsidRPr="002A4B91" w:rsidRDefault="00914EE9" w:rsidP="00BC5CE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506BF145" w14:textId="77777777" w:rsidR="00914EE9" w:rsidRDefault="00914EE9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365D1D8B" w14:textId="77777777" w:rsidR="00284E8B" w:rsidRPr="006E6D2D" w:rsidRDefault="00284E8B" w:rsidP="00951D76">
      <w:pPr>
        <w:contextualSpacing/>
        <w:rPr>
          <w:noProof/>
          <w:lang w:val="ro-RO"/>
        </w:rPr>
      </w:pPr>
    </w:p>
    <w:sectPr w:rsidR="00284E8B" w:rsidRPr="006E6D2D" w:rsidSect="002A3105">
      <w:headerReference w:type="default" r:id="rId12"/>
      <w:footerReference w:type="default" r:id="rId13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4E015" w14:textId="77777777" w:rsidR="00185C1B" w:rsidRDefault="00185C1B" w:rsidP="00666848">
      <w:r>
        <w:separator/>
      </w:r>
    </w:p>
  </w:endnote>
  <w:endnote w:type="continuationSeparator" w:id="0">
    <w:p w14:paraId="2946B5E3" w14:textId="77777777" w:rsidR="00185C1B" w:rsidRDefault="00185C1B" w:rsidP="0066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-Italic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BA512" w14:textId="06891C4D" w:rsidR="00666848" w:rsidRDefault="002A3105" w:rsidP="00914EE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22A9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6DAF1" w14:textId="77777777" w:rsidR="00185C1B" w:rsidRDefault="00185C1B" w:rsidP="00666848">
      <w:r>
        <w:separator/>
      </w:r>
    </w:p>
  </w:footnote>
  <w:footnote w:type="continuationSeparator" w:id="0">
    <w:p w14:paraId="518990DB" w14:textId="77777777" w:rsidR="00185C1B" w:rsidRDefault="00185C1B" w:rsidP="0066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D0446" w14:textId="0200E59A" w:rsidR="002A3105" w:rsidRPr="00914EE9" w:rsidRDefault="00914EE9" w:rsidP="002A3105">
    <w:pPr>
      <w:pStyle w:val="Header"/>
      <w:jc w:val="right"/>
    </w:pPr>
    <w:r w:rsidRPr="00914EE9">
      <w:rPr>
        <w:sz w:val="16"/>
        <w:szCs w:val="16"/>
      </w:rPr>
      <w:fldChar w:fldCharType="begin"/>
    </w:r>
    <w:r w:rsidRPr="00914EE9">
      <w:rPr>
        <w:sz w:val="16"/>
        <w:szCs w:val="16"/>
      </w:rPr>
      <w:instrText xml:space="preserve"> FILENAME \* MERGEFORMAT </w:instrText>
    </w:r>
    <w:r w:rsidRPr="00914EE9">
      <w:rPr>
        <w:sz w:val="16"/>
        <w:szCs w:val="16"/>
      </w:rPr>
      <w:fldChar w:fldCharType="separate"/>
    </w:r>
    <w:r w:rsidR="00962FA4">
      <w:rPr>
        <w:noProof/>
        <w:sz w:val="16"/>
        <w:szCs w:val="16"/>
      </w:rPr>
      <w:t>3.3.6 FD 5.14+13 TAV 19-20.1 IA-AK</w:t>
    </w:r>
    <w:r w:rsidRPr="00914EE9">
      <w:rPr>
        <w:sz w:val="16"/>
        <w:szCs w:val="16"/>
      </w:rPr>
      <w:fldChar w:fldCharType="end"/>
    </w:r>
    <w:r w:rsidR="002A3105" w:rsidRPr="00914EE9">
      <w:rPr>
        <w:sz w:val="16"/>
        <w:szCs w:val="16"/>
      </w:rPr>
      <w:fldChar w:fldCharType="begin"/>
    </w:r>
    <w:r w:rsidR="002A3105" w:rsidRPr="00914EE9">
      <w:rPr>
        <w:sz w:val="16"/>
        <w:szCs w:val="16"/>
      </w:rPr>
      <w:instrText xml:space="preserve"> FILENAME \* MERGEFORMAT </w:instrText>
    </w:r>
    <w:r w:rsidR="00962FA4">
      <w:rPr>
        <w:sz w:val="16"/>
        <w:szCs w:val="16"/>
      </w:rPr>
      <w:fldChar w:fldCharType="separate"/>
    </w:r>
    <w:r w:rsidR="00962FA4">
      <w:rPr>
        <w:noProof/>
        <w:sz w:val="16"/>
        <w:szCs w:val="16"/>
      </w:rPr>
      <w:t>3.3.6 FD 5.14+13 TAV 19-20.1 IA-AK</w:t>
    </w:r>
    <w:r w:rsidR="002A3105" w:rsidRPr="00914EE9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bel"/>
        <w:shd w:val="clear" w:color="auto" w:fill="FFFFFF"/>
        <w:lang w:val="ro-RO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360"/>
      </w:pPr>
    </w:lvl>
    <w:lvl w:ilvl="2">
      <w:start w:val="1"/>
      <w:numFmt w:val="decimal"/>
      <w:lvlText w:val="%3."/>
      <w:lvlJc w:val="left"/>
      <w:pPr>
        <w:tabs>
          <w:tab w:val="num" w:pos="1290"/>
        </w:tabs>
        <w:ind w:left="1290" w:hanging="360"/>
      </w:pPr>
    </w:lvl>
    <w:lvl w:ilvl="3">
      <w:start w:val="1"/>
      <w:numFmt w:val="decimal"/>
      <w:lvlText w:val="%4."/>
      <w:lvlJc w:val="left"/>
      <w:pPr>
        <w:tabs>
          <w:tab w:val="num" w:pos="1650"/>
        </w:tabs>
        <w:ind w:left="1650" w:hanging="360"/>
      </w:pPr>
    </w:lvl>
    <w:lvl w:ilvl="4">
      <w:start w:val="1"/>
      <w:numFmt w:val="decimal"/>
      <w:lvlText w:val="%5."/>
      <w:lvlJc w:val="left"/>
      <w:pPr>
        <w:tabs>
          <w:tab w:val="num" w:pos="2010"/>
        </w:tabs>
        <w:ind w:left="2010" w:hanging="360"/>
      </w:pPr>
    </w:lvl>
    <w:lvl w:ilvl="5">
      <w:start w:val="1"/>
      <w:numFmt w:val="decimal"/>
      <w:lvlText w:val="%6."/>
      <w:lvlJc w:val="left"/>
      <w:pPr>
        <w:tabs>
          <w:tab w:val="num" w:pos="2370"/>
        </w:tabs>
        <w:ind w:left="2370" w:hanging="360"/>
      </w:pPr>
    </w:lvl>
    <w:lvl w:ilvl="6">
      <w:start w:val="1"/>
      <w:numFmt w:val="decimal"/>
      <w:lvlText w:val="%7."/>
      <w:lvlJc w:val="left"/>
      <w:pPr>
        <w:tabs>
          <w:tab w:val="num" w:pos="2730"/>
        </w:tabs>
        <w:ind w:left="2730" w:hanging="360"/>
      </w:pPr>
    </w:lvl>
    <w:lvl w:ilvl="7">
      <w:start w:val="1"/>
      <w:numFmt w:val="decimal"/>
      <w:lvlText w:val="%8."/>
      <w:lvlJc w:val="left"/>
      <w:pPr>
        <w:tabs>
          <w:tab w:val="num" w:pos="3090"/>
        </w:tabs>
        <w:ind w:left="3090" w:hanging="360"/>
      </w:pPr>
    </w:lvl>
    <w:lvl w:ilvl="8">
      <w:start w:val="1"/>
      <w:numFmt w:val="decimal"/>
      <w:lvlText w:val="%9."/>
      <w:lvlJc w:val="left"/>
      <w:pPr>
        <w:tabs>
          <w:tab w:val="num" w:pos="3450"/>
        </w:tabs>
        <w:ind w:left="345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654B4C"/>
    <w:multiLevelType w:val="hybridMultilevel"/>
    <w:tmpl w:val="E5D0E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F2022"/>
    <w:multiLevelType w:val="hybridMultilevel"/>
    <w:tmpl w:val="E5D0E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454C74"/>
    <w:multiLevelType w:val="hybridMultilevel"/>
    <w:tmpl w:val="86B0A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03BBC"/>
    <w:multiLevelType w:val="hybridMultilevel"/>
    <w:tmpl w:val="9170F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E50248"/>
    <w:multiLevelType w:val="hybridMultilevel"/>
    <w:tmpl w:val="744AD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17"/>
  </w:num>
  <w:num w:numId="4">
    <w:abstractNumId w:val="30"/>
  </w:num>
  <w:num w:numId="5">
    <w:abstractNumId w:val="24"/>
  </w:num>
  <w:num w:numId="6">
    <w:abstractNumId w:val="5"/>
  </w:num>
  <w:num w:numId="7">
    <w:abstractNumId w:val="7"/>
  </w:num>
  <w:num w:numId="8">
    <w:abstractNumId w:val="19"/>
  </w:num>
  <w:num w:numId="9">
    <w:abstractNumId w:val="12"/>
  </w:num>
  <w:num w:numId="10">
    <w:abstractNumId w:val="29"/>
  </w:num>
  <w:num w:numId="11">
    <w:abstractNumId w:val="13"/>
  </w:num>
  <w:num w:numId="12">
    <w:abstractNumId w:val="15"/>
  </w:num>
  <w:num w:numId="13">
    <w:abstractNumId w:val="9"/>
  </w:num>
  <w:num w:numId="14">
    <w:abstractNumId w:val="14"/>
  </w:num>
  <w:num w:numId="15">
    <w:abstractNumId w:val="28"/>
  </w:num>
  <w:num w:numId="16">
    <w:abstractNumId w:val="8"/>
  </w:num>
  <w:num w:numId="17">
    <w:abstractNumId w:val="20"/>
  </w:num>
  <w:num w:numId="18">
    <w:abstractNumId w:val="6"/>
  </w:num>
  <w:num w:numId="19">
    <w:abstractNumId w:val="32"/>
  </w:num>
  <w:num w:numId="20">
    <w:abstractNumId w:val="23"/>
  </w:num>
  <w:num w:numId="21">
    <w:abstractNumId w:val="16"/>
  </w:num>
  <w:num w:numId="22">
    <w:abstractNumId w:val="18"/>
  </w:num>
  <w:num w:numId="23">
    <w:abstractNumId w:val="25"/>
  </w:num>
  <w:num w:numId="24">
    <w:abstractNumId w:val="2"/>
  </w:num>
  <w:num w:numId="25">
    <w:abstractNumId w:val="27"/>
  </w:num>
  <w:num w:numId="26">
    <w:abstractNumId w:val="22"/>
  </w:num>
  <w:num w:numId="27">
    <w:abstractNumId w:val="26"/>
  </w:num>
  <w:num w:numId="28">
    <w:abstractNumId w:val="1"/>
  </w:num>
  <w:num w:numId="29">
    <w:abstractNumId w:val="0"/>
  </w:num>
  <w:num w:numId="30">
    <w:abstractNumId w:val="3"/>
  </w:num>
  <w:num w:numId="31">
    <w:abstractNumId w:val="10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6B57"/>
    <w:rsid w:val="000268B9"/>
    <w:rsid w:val="00034EF3"/>
    <w:rsid w:val="00044C4E"/>
    <w:rsid w:val="00050AF5"/>
    <w:rsid w:val="00053690"/>
    <w:rsid w:val="00064D9C"/>
    <w:rsid w:val="00071454"/>
    <w:rsid w:val="0007194F"/>
    <w:rsid w:val="00073F1D"/>
    <w:rsid w:val="00073FD0"/>
    <w:rsid w:val="00074325"/>
    <w:rsid w:val="000A4AAC"/>
    <w:rsid w:val="000C58EB"/>
    <w:rsid w:val="000D5AF4"/>
    <w:rsid w:val="000F0BAC"/>
    <w:rsid w:val="000F3D3C"/>
    <w:rsid w:val="001138E1"/>
    <w:rsid w:val="00130AD9"/>
    <w:rsid w:val="001627E0"/>
    <w:rsid w:val="00185C1B"/>
    <w:rsid w:val="001A5A0F"/>
    <w:rsid w:val="001B2BA8"/>
    <w:rsid w:val="001B395E"/>
    <w:rsid w:val="001C6FB6"/>
    <w:rsid w:val="001D0B30"/>
    <w:rsid w:val="001E4C42"/>
    <w:rsid w:val="002001FD"/>
    <w:rsid w:val="0020056E"/>
    <w:rsid w:val="002047E0"/>
    <w:rsid w:val="00217BE4"/>
    <w:rsid w:val="00226C28"/>
    <w:rsid w:val="00237610"/>
    <w:rsid w:val="00237E01"/>
    <w:rsid w:val="00246417"/>
    <w:rsid w:val="00254DCC"/>
    <w:rsid w:val="002646AF"/>
    <w:rsid w:val="0027455B"/>
    <w:rsid w:val="002812A5"/>
    <w:rsid w:val="00284E8B"/>
    <w:rsid w:val="00291777"/>
    <w:rsid w:val="002A3105"/>
    <w:rsid w:val="002C1636"/>
    <w:rsid w:val="002C37B0"/>
    <w:rsid w:val="002D611E"/>
    <w:rsid w:val="002E1213"/>
    <w:rsid w:val="002F6364"/>
    <w:rsid w:val="003274D2"/>
    <w:rsid w:val="0034390B"/>
    <w:rsid w:val="00343DED"/>
    <w:rsid w:val="00356390"/>
    <w:rsid w:val="00361CE5"/>
    <w:rsid w:val="00371DED"/>
    <w:rsid w:val="003806E1"/>
    <w:rsid w:val="00382FF1"/>
    <w:rsid w:val="00392608"/>
    <w:rsid w:val="003A06B5"/>
    <w:rsid w:val="003A0D1E"/>
    <w:rsid w:val="003B5729"/>
    <w:rsid w:val="003B5A02"/>
    <w:rsid w:val="003C00B0"/>
    <w:rsid w:val="003C1FB6"/>
    <w:rsid w:val="003E69C9"/>
    <w:rsid w:val="003E7F77"/>
    <w:rsid w:val="003F7B48"/>
    <w:rsid w:val="0040409F"/>
    <w:rsid w:val="0043104B"/>
    <w:rsid w:val="00435E7A"/>
    <w:rsid w:val="00450A21"/>
    <w:rsid w:val="00452DCF"/>
    <w:rsid w:val="00457FAE"/>
    <w:rsid w:val="00470F45"/>
    <w:rsid w:val="00475311"/>
    <w:rsid w:val="004870E6"/>
    <w:rsid w:val="004966FF"/>
    <w:rsid w:val="00497BD1"/>
    <w:rsid w:val="004F0D5B"/>
    <w:rsid w:val="0050639B"/>
    <w:rsid w:val="005078CB"/>
    <w:rsid w:val="0055535D"/>
    <w:rsid w:val="00556C56"/>
    <w:rsid w:val="00562304"/>
    <w:rsid w:val="0059711A"/>
    <w:rsid w:val="005A12E1"/>
    <w:rsid w:val="005F51A0"/>
    <w:rsid w:val="0060231F"/>
    <w:rsid w:val="00602EBC"/>
    <w:rsid w:val="00614BDA"/>
    <w:rsid w:val="0062313E"/>
    <w:rsid w:val="00623C96"/>
    <w:rsid w:val="00666848"/>
    <w:rsid w:val="006911A9"/>
    <w:rsid w:val="00696A5C"/>
    <w:rsid w:val="006C7400"/>
    <w:rsid w:val="006D0145"/>
    <w:rsid w:val="006D061F"/>
    <w:rsid w:val="006D7986"/>
    <w:rsid w:val="006E6D2D"/>
    <w:rsid w:val="006F1AC4"/>
    <w:rsid w:val="0070094C"/>
    <w:rsid w:val="00702704"/>
    <w:rsid w:val="00725B23"/>
    <w:rsid w:val="00726B6A"/>
    <w:rsid w:val="007449F1"/>
    <w:rsid w:val="00744DDD"/>
    <w:rsid w:val="00757C43"/>
    <w:rsid w:val="00761633"/>
    <w:rsid w:val="007635BD"/>
    <w:rsid w:val="00774235"/>
    <w:rsid w:val="007A7656"/>
    <w:rsid w:val="007E5DD7"/>
    <w:rsid w:val="007F0DBF"/>
    <w:rsid w:val="008027E9"/>
    <w:rsid w:val="00816C94"/>
    <w:rsid w:val="00827CAD"/>
    <w:rsid w:val="0083153A"/>
    <w:rsid w:val="00850029"/>
    <w:rsid w:val="008712DB"/>
    <w:rsid w:val="0089490E"/>
    <w:rsid w:val="00896349"/>
    <w:rsid w:val="00897094"/>
    <w:rsid w:val="00897E4F"/>
    <w:rsid w:val="008B1D67"/>
    <w:rsid w:val="008C07C5"/>
    <w:rsid w:val="008D1BFE"/>
    <w:rsid w:val="008D366C"/>
    <w:rsid w:val="008F0298"/>
    <w:rsid w:val="008F188E"/>
    <w:rsid w:val="00914EE9"/>
    <w:rsid w:val="00942F93"/>
    <w:rsid w:val="0094707C"/>
    <w:rsid w:val="00951D76"/>
    <w:rsid w:val="009565F8"/>
    <w:rsid w:val="00960D41"/>
    <w:rsid w:val="00962FA4"/>
    <w:rsid w:val="009749C0"/>
    <w:rsid w:val="0098490E"/>
    <w:rsid w:val="009B4C46"/>
    <w:rsid w:val="009C7D6C"/>
    <w:rsid w:val="009D4FD8"/>
    <w:rsid w:val="009E58A9"/>
    <w:rsid w:val="00A1106D"/>
    <w:rsid w:val="00A26881"/>
    <w:rsid w:val="00A352F6"/>
    <w:rsid w:val="00A44C28"/>
    <w:rsid w:val="00A5014E"/>
    <w:rsid w:val="00A54E4F"/>
    <w:rsid w:val="00A61861"/>
    <w:rsid w:val="00A637BC"/>
    <w:rsid w:val="00A735CC"/>
    <w:rsid w:val="00A868C1"/>
    <w:rsid w:val="00AA469C"/>
    <w:rsid w:val="00AB0165"/>
    <w:rsid w:val="00AB18CF"/>
    <w:rsid w:val="00AB1ADD"/>
    <w:rsid w:val="00AB4356"/>
    <w:rsid w:val="00AC33D3"/>
    <w:rsid w:val="00AD2F32"/>
    <w:rsid w:val="00B04225"/>
    <w:rsid w:val="00B07561"/>
    <w:rsid w:val="00B07BFA"/>
    <w:rsid w:val="00B236DC"/>
    <w:rsid w:val="00B32698"/>
    <w:rsid w:val="00B7109F"/>
    <w:rsid w:val="00B810F8"/>
    <w:rsid w:val="00B96DA8"/>
    <w:rsid w:val="00BB303C"/>
    <w:rsid w:val="00BC11A1"/>
    <w:rsid w:val="00BE5F89"/>
    <w:rsid w:val="00BE742F"/>
    <w:rsid w:val="00BF122D"/>
    <w:rsid w:val="00BF1283"/>
    <w:rsid w:val="00C1183D"/>
    <w:rsid w:val="00C12426"/>
    <w:rsid w:val="00C22E24"/>
    <w:rsid w:val="00C332A4"/>
    <w:rsid w:val="00C44284"/>
    <w:rsid w:val="00C47442"/>
    <w:rsid w:val="00C57965"/>
    <w:rsid w:val="00C73720"/>
    <w:rsid w:val="00C816A2"/>
    <w:rsid w:val="00CA5091"/>
    <w:rsid w:val="00CE71E1"/>
    <w:rsid w:val="00D00FBE"/>
    <w:rsid w:val="00D22AFB"/>
    <w:rsid w:val="00D24033"/>
    <w:rsid w:val="00D57271"/>
    <w:rsid w:val="00D8040B"/>
    <w:rsid w:val="00DA2172"/>
    <w:rsid w:val="00DD0DDC"/>
    <w:rsid w:val="00DD2B25"/>
    <w:rsid w:val="00E037F6"/>
    <w:rsid w:val="00E31B78"/>
    <w:rsid w:val="00E3215E"/>
    <w:rsid w:val="00E34F81"/>
    <w:rsid w:val="00E43D43"/>
    <w:rsid w:val="00E458DA"/>
    <w:rsid w:val="00E630F9"/>
    <w:rsid w:val="00E86576"/>
    <w:rsid w:val="00EA4CD6"/>
    <w:rsid w:val="00EA7E9B"/>
    <w:rsid w:val="00EB1368"/>
    <w:rsid w:val="00EB4A69"/>
    <w:rsid w:val="00ED22A9"/>
    <w:rsid w:val="00ED4EFF"/>
    <w:rsid w:val="00EF10AB"/>
    <w:rsid w:val="00EF5AEB"/>
    <w:rsid w:val="00F07553"/>
    <w:rsid w:val="00F15C49"/>
    <w:rsid w:val="00F272CA"/>
    <w:rsid w:val="00F46278"/>
    <w:rsid w:val="00F51498"/>
    <w:rsid w:val="00F72804"/>
    <w:rsid w:val="00F76E92"/>
    <w:rsid w:val="00F85673"/>
    <w:rsid w:val="00FA037A"/>
    <w:rsid w:val="00FB6865"/>
    <w:rsid w:val="00FE6545"/>
    <w:rsid w:val="00FE6839"/>
    <w:rsid w:val="00FF1AD7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3E4D3A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fontstyle01">
    <w:name w:val="fontstyle01"/>
    <w:basedOn w:val="DefaultParagraphFont"/>
    <w:rsid w:val="00F51498"/>
    <w:rPr>
      <w:rFonts w:ascii="Times-Italic" w:hAnsi="Times-Italic" w:hint="default"/>
      <w:b w:val="0"/>
      <w:bCs w:val="0"/>
      <w:i/>
      <w:iCs/>
      <w:color w:val="000000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1498"/>
    <w:rPr>
      <w:color w:val="605E5C"/>
      <w:shd w:val="clear" w:color="auto" w:fill="E1DFDD"/>
    </w:rPr>
  </w:style>
  <w:style w:type="paragraph" w:customStyle="1" w:styleId="BodyTextIndent21">
    <w:name w:val="Body Text Indent 21"/>
    <w:basedOn w:val="Normal"/>
    <w:rsid w:val="003A0D1E"/>
    <w:pPr>
      <w:suppressAutoHyphens/>
      <w:spacing w:after="120" w:line="480" w:lineRule="auto"/>
      <w:ind w:left="283"/>
    </w:pPr>
    <w:rPr>
      <w:rFonts w:eastAsia="Times New Roman"/>
      <w:szCs w:val="22"/>
      <w:lang w:val="ro-RO" w:eastAsia="ar-SA"/>
    </w:rPr>
  </w:style>
  <w:style w:type="paragraph" w:customStyle="1" w:styleId="TableContents">
    <w:name w:val="Table Contents"/>
    <w:basedOn w:val="Normal"/>
    <w:qFormat/>
    <w:rsid w:val="003A0D1E"/>
    <w:pPr>
      <w:suppressLineNumbers/>
    </w:pPr>
    <w:rPr>
      <w:rFonts w:ascii="Liberation Serif" w:eastAsia="WenQuanYi Micro Hei" w:hAnsi="Liberation Serif" w:cs="Lohit Devanagari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d.com/participate/translate/guideline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ublications.europa.eu/en/publication-detail/-/publication/e4d5cbf4-a839-4a8a-81d0-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d.com/participate/translate/subtitling-resource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translations.ted.org/wiki/How_to_Compress_Subtitl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ranslations.ted.org/wiki/How_to_break_lin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1863</Words>
  <Characters>10620</Characters>
  <Application>Microsoft Office Word</Application>
  <DocSecurity>0</DocSecurity>
  <Lines>88</Lines>
  <Paragraphs>24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7</cp:revision>
  <cp:lastPrinted>2019-11-18T19:50:00Z</cp:lastPrinted>
  <dcterms:created xsi:type="dcterms:W3CDTF">2019-11-10T23:14:00Z</dcterms:created>
  <dcterms:modified xsi:type="dcterms:W3CDTF">2019-11-18T19:50:00Z</dcterms:modified>
</cp:coreProperties>
</file>