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CD889" w14:textId="77777777" w:rsidR="008027E9" w:rsidRPr="00E51BF5" w:rsidRDefault="008027E9" w:rsidP="00AD3DD6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  <w:bookmarkStart w:id="0" w:name="_GoBack"/>
      <w:bookmarkEnd w:id="0"/>
      <w:r w:rsidRPr="00E51BF5">
        <w:rPr>
          <w:b/>
          <w:caps/>
          <w:szCs w:val="24"/>
          <w:lang w:val="ro-RO"/>
        </w:rPr>
        <w:t>fi</w:t>
      </w:r>
      <w:r w:rsidR="00ED4EFF" w:rsidRPr="00E51BF5">
        <w:rPr>
          <w:b/>
          <w:caps/>
          <w:szCs w:val="24"/>
          <w:lang w:val="ro-RO"/>
        </w:rPr>
        <w:t>ș</w:t>
      </w:r>
      <w:r w:rsidRPr="00E51BF5">
        <w:rPr>
          <w:b/>
          <w:caps/>
          <w:szCs w:val="24"/>
          <w:lang w:val="ro-RO"/>
        </w:rPr>
        <w:t>a disciplinei</w:t>
      </w:r>
    </w:p>
    <w:p w14:paraId="668BC873" w14:textId="77777777" w:rsidR="003B7840" w:rsidRPr="00E51BF5" w:rsidRDefault="003B7840" w:rsidP="00AD3DD6">
      <w:pPr>
        <w:spacing w:after="0" w:line="240" w:lineRule="auto"/>
        <w:contextualSpacing/>
        <w:jc w:val="center"/>
        <w:rPr>
          <w:b/>
          <w:caps/>
          <w:szCs w:val="24"/>
          <w:lang w:val="ro-RO"/>
        </w:rPr>
      </w:pPr>
    </w:p>
    <w:p w14:paraId="1B95C4F6" w14:textId="77777777" w:rsidR="008027E9" w:rsidRPr="00E51BF5" w:rsidRDefault="008027E9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1. 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1"/>
        <w:gridCol w:w="6535"/>
      </w:tblGrid>
      <w:tr w:rsidR="008027E9" w:rsidRPr="00E51BF5" w14:paraId="50AE138E" w14:textId="77777777" w:rsidTr="003B7840">
        <w:tc>
          <w:tcPr>
            <w:tcW w:w="3888" w:type="dxa"/>
          </w:tcPr>
          <w:p w14:paraId="5BB1DB65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Institu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 superior</w:t>
            </w:r>
          </w:p>
        </w:tc>
        <w:tc>
          <w:tcPr>
            <w:tcW w:w="6480" w:type="dxa"/>
          </w:tcPr>
          <w:p w14:paraId="513A9D36" w14:textId="77777777" w:rsidR="008027E9" w:rsidRPr="00E51BF5" w:rsidRDefault="00C332A4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Universitatea </w:t>
            </w:r>
            <w:r w:rsidR="00ED2EE6">
              <w:rPr>
                <w:szCs w:val="24"/>
                <w:lang w:val="ro-RO"/>
              </w:rPr>
              <w:t>„</w:t>
            </w:r>
            <w:r w:rsidRPr="00E51BF5">
              <w:rPr>
                <w:szCs w:val="24"/>
                <w:lang w:val="ro-RO"/>
              </w:rPr>
              <w:t>Sapientia</w:t>
            </w:r>
            <w:r w:rsidR="00ED2EE6">
              <w:rPr>
                <w:szCs w:val="24"/>
                <w:lang w:val="ro-RO"/>
              </w:rPr>
              <w:t>”</w:t>
            </w:r>
            <w:r w:rsidRPr="00E51BF5">
              <w:rPr>
                <w:szCs w:val="24"/>
                <w:lang w:val="ro-RO"/>
              </w:rPr>
              <w:t xml:space="preserve"> din</w:t>
            </w:r>
            <w:r w:rsidR="00ED2EE6">
              <w:rPr>
                <w:szCs w:val="24"/>
                <w:lang w:val="ro-RO"/>
              </w:rPr>
              <w:t xml:space="preserve"> municipiul</w:t>
            </w:r>
            <w:r w:rsidRPr="00E51BF5">
              <w:rPr>
                <w:szCs w:val="24"/>
                <w:lang w:val="ro-RO"/>
              </w:rPr>
              <w:t xml:space="preserve"> Cluj</w:t>
            </w:r>
            <w:r w:rsidR="000C58EB" w:rsidRPr="00E51BF5">
              <w:rPr>
                <w:szCs w:val="24"/>
                <w:lang w:val="ro-RO"/>
              </w:rPr>
              <w:t>-</w:t>
            </w:r>
            <w:r w:rsidRPr="00E51BF5">
              <w:rPr>
                <w:szCs w:val="24"/>
                <w:lang w:val="ro-RO"/>
              </w:rPr>
              <w:t>Napoca</w:t>
            </w:r>
          </w:p>
        </w:tc>
      </w:tr>
      <w:tr w:rsidR="008027E9" w:rsidRPr="00E51BF5" w14:paraId="108A7BD1" w14:textId="77777777" w:rsidTr="003B7840">
        <w:tc>
          <w:tcPr>
            <w:tcW w:w="3888" w:type="dxa"/>
          </w:tcPr>
          <w:p w14:paraId="413120DA" w14:textId="57B62309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Facultatea</w:t>
            </w:r>
            <w:r w:rsidR="00752960">
              <w:rPr>
                <w:szCs w:val="24"/>
                <w:lang w:val="ro-RO"/>
              </w:rPr>
              <w:t>/ DSPP</w:t>
            </w:r>
          </w:p>
        </w:tc>
        <w:tc>
          <w:tcPr>
            <w:tcW w:w="6480" w:type="dxa"/>
          </w:tcPr>
          <w:p w14:paraId="14C6251D" w14:textId="117F31E6" w:rsidR="008027E9" w:rsidRPr="00E51BF5" w:rsidRDefault="00AD3DD6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Facultatea de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tiin</w:t>
            </w:r>
            <w:r w:rsidR="00850029" w:rsidRPr="00E51BF5">
              <w:rPr>
                <w:szCs w:val="24"/>
                <w:lang w:val="ro-RO"/>
              </w:rPr>
              <w:t>ț</w:t>
            </w:r>
            <w:r w:rsidR="002A3105" w:rsidRPr="00E51BF5">
              <w:rPr>
                <w:szCs w:val="24"/>
                <w:lang w:val="ro-RO"/>
              </w:rPr>
              <w:t xml:space="preserve">e Tehnice 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2A3105" w:rsidRPr="00E51BF5">
              <w:rPr>
                <w:szCs w:val="24"/>
                <w:lang w:val="ro-RO"/>
              </w:rPr>
              <w:t>i Umaniste</w:t>
            </w:r>
            <w:r w:rsidR="00392608" w:rsidRPr="00E51BF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din Târgu </w:t>
            </w:r>
            <w:r w:rsidR="00392608" w:rsidRPr="00E51BF5">
              <w:rPr>
                <w:szCs w:val="24"/>
                <w:lang w:val="ro-RO"/>
              </w:rPr>
              <w:t>Mure</w:t>
            </w:r>
            <w:r w:rsidR="00ED4EFF" w:rsidRPr="00E51BF5">
              <w:rPr>
                <w:szCs w:val="24"/>
                <w:lang w:val="ro-RO"/>
              </w:rPr>
              <w:t>ș</w:t>
            </w:r>
          </w:p>
        </w:tc>
      </w:tr>
      <w:tr w:rsidR="002A3105" w:rsidRPr="00E51BF5" w14:paraId="5340016A" w14:textId="77777777" w:rsidTr="003B7840">
        <w:tc>
          <w:tcPr>
            <w:tcW w:w="3888" w:type="dxa"/>
          </w:tcPr>
          <w:p w14:paraId="2BBCAFD5" w14:textId="77777777" w:rsidR="002A3105" w:rsidRPr="00E51BF5" w:rsidRDefault="002A310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1.3. Domeniul de studii</w:t>
            </w:r>
          </w:p>
        </w:tc>
        <w:tc>
          <w:tcPr>
            <w:tcW w:w="6480" w:type="dxa"/>
          </w:tcPr>
          <w:p w14:paraId="00B24CFC" w14:textId="77777777" w:rsidR="002A3105" w:rsidRPr="00E51BF5" w:rsidRDefault="002A3105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Limbi moderne aplicate</w:t>
            </w:r>
          </w:p>
        </w:tc>
      </w:tr>
      <w:tr w:rsidR="002A3105" w:rsidRPr="00E51BF5" w14:paraId="75E67747" w14:textId="77777777" w:rsidTr="003B7840">
        <w:tc>
          <w:tcPr>
            <w:tcW w:w="3888" w:type="dxa"/>
          </w:tcPr>
          <w:p w14:paraId="59831D3E" w14:textId="77777777" w:rsidR="002A3105" w:rsidRPr="00E51BF5" w:rsidRDefault="002A310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1.4. Ciclul de studii</w:t>
            </w:r>
          </w:p>
        </w:tc>
        <w:tc>
          <w:tcPr>
            <w:tcW w:w="6480" w:type="dxa"/>
          </w:tcPr>
          <w:p w14:paraId="1605C1BF" w14:textId="77777777" w:rsidR="002A3105" w:rsidRPr="00E51BF5" w:rsidRDefault="002A3105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Licen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</w:t>
            </w:r>
          </w:p>
        </w:tc>
      </w:tr>
      <w:tr w:rsidR="002A3105" w:rsidRPr="00E51BF5" w14:paraId="00BEF6DE" w14:textId="77777777" w:rsidTr="003B7840">
        <w:tc>
          <w:tcPr>
            <w:tcW w:w="3888" w:type="dxa"/>
          </w:tcPr>
          <w:p w14:paraId="257AD628" w14:textId="77777777" w:rsidR="002A3105" w:rsidRPr="00E51BF5" w:rsidRDefault="002A310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1.5. Programul de studiu </w:t>
            </w:r>
          </w:p>
        </w:tc>
        <w:tc>
          <w:tcPr>
            <w:tcW w:w="6480" w:type="dxa"/>
          </w:tcPr>
          <w:p w14:paraId="74767DA4" w14:textId="77777777" w:rsidR="002A3105" w:rsidRPr="00E51BF5" w:rsidRDefault="002A3105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Traducere </w:t>
            </w:r>
            <w:r w:rsidR="00ED2EE6">
              <w:rPr>
                <w:rFonts w:eastAsia="Times New Roman"/>
                <w:lang w:val="ro-RO"/>
              </w:rPr>
              <w:t>și i</w:t>
            </w:r>
            <w:r w:rsidRPr="00E51BF5">
              <w:rPr>
                <w:rFonts w:eastAsia="Times New Roman"/>
                <w:lang w:val="ro-RO"/>
              </w:rPr>
              <w:t>nterpretare</w:t>
            </w:r>
          </w:p>
        </w:tc>
      </w:tr>
      <w:tr w:rsidR="002A3105" w:rsidRPr="00E51BF5" w14:paraId="43AFB6F4" w14:textId="77777777" w:rsidTr="003B7840">
        <w:tc>
          <w:tcPr>
            <w:tcW w:w="3888" w:type="dxa"/>
          </w:tcPr>
          <w:p w14:paraId="3911408C" w14:textId="77777777" w:rsidR="002A3105" w:rsidRPr="00E51BF5" w:rsidRDefault="002A310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1.6. Calificarea</w:t>
            </w:r>
          </w:p>
        </w:tc>
        <w:tc>
          <w:tcPr>
            <w:tcW w:w="6480" w:type="dxa"/>
          </w:tcPr>
          <w:p w14:paraId="65E6008B" w14:textId="77777777" w:rsidR="002A3105" w:rsidRPr="00E51BF5" w:rsidRDefault="002A3105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Traducător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interpret</w:t>
            </w:r>
          </w:p>
        </w:tc>
      </w:tr>
    </w:tbl>
    <w:p w14:paraId="470A7C0B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</w:p>
    <w:p w14:paraId="78457DD2" w14:textId="77777777" w:rsidR="008027E9" w:rsidRPr="00E51BF5" w:rsidRDefault="008027E9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456"/>
        <w:gridCol w:w="1512"/>
        <w:gridCol w:w="540"/>
        <w:gridCol w:w="2159"/>
        <w:gridCol w:w="543"/>
        <w:gridCol w:w="2699"/>
        <w:gridCol w:w="563"/>
      </w:tblGrid>
      <w:tr w:rsidR="001138E1" w:rsidRPr="00E51BF5" w14:paraId="656E70BB" w14:textId="77777777" w:rsidTr="003B7840">
        <w:tc>
          <w:tcPr>
            <w:tcW w:w="3887" w:type="dxa"/>
            <w:gridSpan w:val="3"/>
          </w:tcPr>
          <w:p w14:paraId="1CF8DA9A" w14:textId="77777777" w:rsidR="001138E1" w:rsidRPr="00E51BF5" w:rsidRDefault="001138E1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2.0. Departamentul</w:t>
            </w:r>
          </w:p>
        </w:tc>
        <w:tc>
          <w:tcPr>
            <w:tcW w:w="6481" w:type="dxa"/>
            <w:gridSpan w:val="5"/>
          </w:tcPr>
          <w:p w14:paraId="11E6FC6C" w14:textId="77777777" w:rsidR="001138E1" w:rsidRPr="00E51BF5" w:rsidRDefault="00ED4EFF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Departamentul de </w:t>
            </w:r>
            <w:r w:rsidR="00392608" w:rsidRPr="00E51BF5">
              <w:rPr>
                <w:rFonts w:eastAsia="Times New Roman"/>
                <w:lang w:val="ro-RO"/>
              </w:rPr>
              <w:t>Lingvistică Aplicată</w:t>
            </w:r>
          </w:p>
        </w:tc>
      </w:tr>
      <w:tr w:rsidR="00A61861" w:rsidRPr="00E51BF5" w14:paraId="766329F8" w14:textId="77777777" w:rsidTr="003B7840">
        <w:tc>
          <w:tcPr>
            <w:tcW w:w="3887" w:type="dxa"/>
            <w:gridSpan w:val="3"/>
          </w:tcPr>
          <w:p w14:paraId="58E7AA4C" w14:textId="77777777" w:rsidR="00A61861" w:rsidRPr="00E51BF5" w:rsidRDefault="00A61861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Denumirea disciplinei</w:t>
            </w:r>
          </w:p>
        </w:tc>
        <w:tc>
          <w:tcPr>
            <w:tcW w:w="6481" w:type="dxa"/>
            <w:gridSpan w:val="5"/>
          </w:tcPr>
          <w:p w14:paraId="4A7D02D2" w14:textId="77777777" w:rsidR="00A61861" w:rsidRDefault="00084B99" w:rsidP="00AD3DD6">
            <w:pPr>
              <w:spacing w:after="0" w:line="240" w:lineRule="auto"/>
              <w:contextualSpacing/>
              <w:rPr>
                <w:rFonts w:eastAsia="Times New Roman"/>
                <w:b/>
                <w:lang w:val="ro-RO"/>
              </w:rPr>
            </w:pPr>
            <w:r>
              <w:rPr>
                <w:rFonts w:eastAsia="Times New Roman"/>
                <w:b/>
                <w:lang w:val="ro-RO"/>
              </w:rPr>
              <w:t>Analiza discursului</w:t>
            </w:r>
            <w:r w:rsidR="00ED2EE6">
              <w:rPr>
                <w:rFonts w:eastAsia="Times New Roman"/>
                <w:b/>
                <w:lang w:val="ro-RO"/>
              </w:rPr>
              <w:t xml:space="preserve"> (MBHB0461)</w:t>
            </w:r>
          </w:p>
          <w:p w14:paraId="38E20AA1" w14:textId="77777777" w:rsidR="00ED2EE6" w:rsidRDefault="00ED2EE6" w:rsidP="00AD3DD6">
            <w:pPr>
              <w:spacing w:after="0" w:line="240" w:lineRule="auto"/>
              <w:contextualSpacing/>
              <w:rPr>
                <w:b/>
                <w:szCs w:val="24"/>
                <w:lang w:val="hu-HU"/>
              </w:rPr>
            </w:pPr>
            <w:r>
              <w:rPr>
                <w:b/>
                <w:szCs w:val="24"/>
                <w:lang w:val="ro-RO"/>
              </w:rPr>
              <w:t>Diskurzuselemz</w:t>
            </w:r>
            <w:r>
              <w:rPr>
                <w:b/>
                <w:szCs w:val="24"/>
                <w:lang w:val="hu-HU"/>
              </w:rPr>
              <w:t>és</w:t>
            </w:r>
          </w:p>
          <w:p w14:paraId="52BEA23F" w14:textId="77777777" w:rsidR="00ED2EE6" w:rsidRPr="00ED2EE6" w:rsidRDefault="00ED2EE6" w:rsidP="00AD3DD6">
            <w:pPr>
              <w:spacing w:after="0" w:line="240" w:lineRule="auto"/>
              <w:contextualSpacing/>
              <w:rPr>
                <w:b/>
                <w:szCs w:val="24"/>
                <w:lang w:val="hu-HU"/>
              </w:rPr>
            </w:pPr>
            <w:r>
              <w:rPr>
                <w:b/>
                <w:szCs w:val="24"/>
                <w:lang w:val="hu-HU"/>
              </w:rPr>
              <w:t>Discourse Analysis</w:t>
            </w:r>
          </w:p>
        </w:tc>
      </w:tr>
      <w:tr w:rsidR="00A61861" w:rsidRPr="00E51BF5" w14:paraId="7EFA316C" w14:textId="77777777" w:rsidTr="003B7840">
        <w:tc>
          <w:tcPr>
            <w:tcW w:w="3887" w:type="dxa"/>
            <w:gridSpan w:val="3"/>
          </w:tcPr>
          <w:p w14:paraId="554DFC30" w14:textId="77777777" w:rsidR="00A61861" w:rsidRPr="00E51BF5" w:rsidRDefault="00A61861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Titularul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ilor de curs</w:t>
            </w:r>
          </w:p>
        </w:tc>
        <w:tc>
          <w:tcPr>
            <w:tcW w:w="6481" w:type="dxa"/>
            <w:gridSpan w:val="5"/>
          </w:tcPr>
          <w:p w14:paraId="2BD0A943" w14:textId="0BDA4FEB" w:rsidR="00A61861" w:rsidRPr="00E51BF5" w:rsidRDefault="00AD3DD6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Conf. univ. dr.</w:t>
            </w:r>
            <w:r>
              <w:rPr>
                <w:rFonts w:eastAsia="Times New Roman"/>
                <w:lang w:val="ro-RO"/>
              </w:rPr>
              <w:t xml:space="preserve"> </w:t>
            </w:r>
            <w:r w:rsidR="00ED2EE6">
              <w:rPr>
                <w:rFonts w:eastAsia="Times New Roman"/>
                <w:lang w:val="ro-RO"/>
              </w:rPr>
              <w:t>SUBA Ré</w:t>
            </w:r>
            <w:r w:rsidR="00E4155A">
              <w:rPr>
                <w:rFonts w:eastAsia="Times New Roman"/>
                <w:lang w:val="ro-RO"/>
              </w:rPr>
              <w:t>ka</w:t>
            </w:r>
          </w:p>
        </w:tc>
      </w:tr>
      <w:tr w:rsidR="00392608" w:rsidRPr="00E51BF5" w14:paraId="00BEF375" w14:textId="77777777" w:rsidTr="003B7840">
        <w:trPr>
          <w:trHeight w:val="191"/>
        </w:trPr>
        <w:tc>
          <w:tcPr>
            <w:tcW w:w="2375" w:type="dxa"/>
            <w:gridSpan w:val="2"/>
            <w:vMerge w:val="restart"/>
          </w:tcPr>
          <w:p w14:paraId="5F470461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2.3. Titularul (ii)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ilor de </w:t>
            </w:r>
          </w:p>
          <w:p w14:paraId="427FD8BA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3DAA2918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6481" w:type="dxa"/>
            <w:gridSpan w:val="5"/>
          </w:tcPr>
          <w:p w14:paraId="43F7492C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74DCA691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388E7425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4C0A8276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laborator</w:t>
            </w:r>
          </w:p>
        </w:tc>
        <w:tc>
          <w:tcPr>
            <w:tcW w:w="6481" w:type="dxa"/>
            <w:gridSpan w:val="5"/>
          </w:tcPr>
          <w:p w14:paraId="4A3BD80F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3C1772B0" w14:textId="77777777" w:rsidTr="003B7840">
        <w:trPr>
          <w:trHeight w:val="190"/>
        </w:trPr>
        <w:tc>
          <w:tcPr>
            <w:tcW w:w="2375" w:type="dxa"/>
            <w:gridSpan w:val="2"/>
            <w:vMerge/>
          </w:tcPr>
          <w:p w14:paraId="4FEEF0D3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512" w:type="dxa"/>
          </w:tcPr>
          <w:p w14:paraId="1C99BB13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proiect</w:t>
            </w:r>
          </w:p>
        </w:tc>
        <w:tc>
          <w:tcPr>
            <w:tcW w:w="6481" w:type="dxa"/>
            <w:gridSpan w:val="5"/>
          </w:tcPr>
          <w:p w14:paraId="50AA9B5F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  <w:tr w:rsidR="00392608" w:rsidRPr="00E51BF5" w14:paraId="40EA79B5" w14:textId="77777777" w:rsidTr="003B7840">
        <w:tc>
          <w:tcPr>
            <w:tcW w:w="1984" w:type="dxa"/>
          </w:tcPr>
          <w:p w14:paraId="6A97A858" w14:textId="77777777" w:rsidR="00392608" w:rsidRPr="00E51BF5" w:rsidRDefault="00392608" w:rsidP="00AD3DD6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2.4. Anul de studiu</w:t>
            </w:r>
          </w:p>
        </w:tc>
        <w:tc>
          <w:tcPr>
            <w:tcW w:w="391" w:type="dxa"/>
          </w:tcPr>
          <w:p w14:paraId="57223313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</w:t>
            </w:r>
            <w:r w:rsidR="00E4155A">
              <w:rPr>
                <w:szCs w:val="24"/>
                <w:lang w:val="ro-RO"/>
              </w:rPr>
              <w:t>I</w:t>
            </w:r>
            <w:r w:rsidRPr="00E51BF5">
              <w:rPr>
                <w:szCs w:val="24"/>
                <w:lang w:val="ro-RO"/>
              </w:rPr>
              <w:t>I</w:t>
            </w:r>
          </w:p>
        </w:tc>
        <w:tc>
          <w:tcPr>
            <w:tcW w:w="1512" w:type="dxa"/>
          </w:tcPr>
          <w:p w14:paraId="560E4A73" w14:textId="77777777" w:rsidR="00392608" w:rsidRPr="00E51BF5" w:rsidRDefault="00392608" w:rsidP="00AD3DD6">
            <w:pPr>
              <w:spacing w:after="0" w:line="240" w:lineRule="auto"/>
              <w:ind w:left="-82" w:right="-16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2.5. Semestrul</w:t>
            </w:r>
          </w:p>
        </w:tc>
        <w:tc>
          <w:tcPr>
            <w:tcW w:w="540" w:type="dxa"/>
          </w:tcPr>
          <w:p w14:paraId="7D4B02DA" w14:textId="77777777" w:rsidR="00392608" w:rsidRPr="00E51BF5" w:rsidRDefault="00E4155A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</w:t>
            </w:r>
          </w:p>
        </w:tc>
        <w:tc>
          <w:tcPr>
            <w:tcW w:w="2159" w:type="dxa"/>
          </w:tcPr>
          <w:p w14:paraId="41B966AC" w14:textId="77777777" w:rsidR="00392608" w:rsidRPr="00E51BF5" w:rsidRDefault="00392608" w:rsidP="00AD3DD6">
            <w:pPr>
              <w:spacing w:after="0" w:line="240" w:lineRule="auto"/>
              <w:ind w:left="-80" w:right="-12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2.6. Tipul de evaluare</w:t>
            </w:r>
          </w:p>
        </w:tc>
        <w:tc>
          <w:tcPr>
            <w:tcW w:w="543" w:type="dxa"/>
          </w:tcPr>
          <w:p w14:paraId="00A4A988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2699" w:type="dxa"/>
          </w:tcPr>
          <w:p w14:paraId="4808801A" w14:textId="77777777" w:rsidR="00392608" w:rsidRPr="00E51BF5" w:rsidRDefault="00392608" w:rsidP="00AD3DD6">
            <w:pPr>
              <w:spacing w:after="0" w:line="240" w:lineRule="auto"/>
              <w:ind w:left="-38" w:right="-136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2.7. Regimul disciplinei</w:t>
            </w:r>
          </w:p>
        </w:tc>
        <w:tc>
          <w:tcPr>
            <w:tcW w:w="540" w:type="dxa"/>
          </w:tcPr>
          <w:p w14:paraId="09273A0B" w14:textId="07289BAF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</w:t>
            </w:r>
            <w:r w:rsidR="00AD3DD6">
              <w:rPr>
                <w:szCs w:val="24"/>
                <w:lang w:val="ro-RO"/>
              </w:rPr>
              <w:t>O</w:t>
            </w:r>
          </w:p>
        </w:tc>
      </w:tr>
    </w:tbl>
    <w:p w14:paraId="7E4BFA0E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</w:p>
    <w:p w14:paraId="43C4DB1B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3. Timpul total estimat</w:t>
      </w:r>
      <w:r w:rsidRPr="00E51BF5">
        <w:rPr>
          <w:szCs w:val="24"/>
          <w:lang w:val="ro-RO"/>
        </w:rPr>
        <w:t xml:space="preserve"> (ore pe semestru al activită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1"/>
        <w:gridCol w:w="817"/>
        <w:gridCol w:w="1997"/>
        <w:gridCol w:w="817"/>
        <w:gridCol w:w="1906"/>
        <w:gridCol w:w="998"/>
      </w:tblGrid>
      <w:tr w:rsidR="008027E9" w:rsidRPr="00E51BF5" w14:paraId="5FCFD7FA" w14:textId="77777777" w:rsidTr="00E95A7E">
        <w:tc>
          <w:tcPr>
            <w:tcW w:w="3921" w:type="dxa"/>
            <w:shd w:val="clear" w:color="auto" w:fill="auto"/>
          </w:tcPr>
          <w:p w14:paraId="72166390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Număr de ore pe săptămână</w:t>
            </w:r>
          </w:p>
        </w:tc>
        <w:tc>
          <w:tcPr>
            <w:tcW w:w="817" w:type="dxa"/>
            <w:shd w:val="clear" w:color="auto" w:fill="auto"/>
          </w:tcPr>
          <w:p w14:paraId="5FF67376" w14:textId="77777777" w:rsidR="008027E9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14:paraId="0CB8624B" w14:textId="77777777" w:rsidR="008027E9" w:rsidRPr="00E51BF5" w:rsidRDefault="008027E9" w:rsidP="00AD3DD6">
            <w:pPr>
              <w:spacing w:after="0" w:line="240" w:lineRule="auto"/>
              <w:ind w:right="-189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189F845B" w14:textId="77777777" w:rsidR="008027E9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</w:t>
            </w:r>
          </w:p>
        </w:tc>
        <w:tc>
          <w:tcPr>
            <w:tcW w:w="1906" w:type="dxa"/>
            <w:shd w:val="clear" w:color="auto" w:fill="auto"/>
          </w:tcPr>
          <w:p w14:paraId="3AA557DF" w14:textId="77777777" w:rsidR="008027E9" w:rsidRPr="00E51BF5" w:rsidRDefault="008027E9" w:rsidP="00AD3DD6">
            <w:pPr>
              <w:spacing w:after="0" w:line="240" w:lineRule="auto"/>
              <w:ind w:right="-17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7428E46B" w14:textId="77777777" w:rsidR="001E4C42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51BF5" w14:paraId="7AA0FE58" w14:textId="77777777" w:rsidTr="00E95A7E">
        <w:tc>
          <w:tcPr>
            <w:tcW w:w="3921" w:type="dxa"/>
            <w:shd w:val="clear" w:color="auto" w:fill="auto"/>
          </w:tcPr>
          <w:p w14:paraId="439D7C72" w14:textId="77777777" w:rsidR="008027E9" w:rsidRPr="00E51BF5" w:rsidRDefault="008027E9" w:rsidP="00AD3DD6">
            <w:pPr>
              <w:spacing w:after="0" w:line="240" w:lineRule="auto"/>
              <w:ind w:right="-192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3.4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Total ore din planul de învă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ământ</w:t>
            </w:r>
          </w:p>
        </w:tc>
        <w:tc>
          <w:tcPr>
            <w:tcW w:w="817" w:type="dxa"/>
            <w:shd w:val="clear" w:color="auto" w:fill="auto"/>
          </w:tcPr>
          <w:p w14:paraId="0BBBE71A" w14:textId="77777777" w:rsidR="008027E9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97" w:type="dxa"/>
            <w:shd w:val="clear" w:color="auto" w:fill="auto"/>
          </w:tcPr>
          <w:p w14:paraId="429D8113" w14:textId="77777777" w:rsidR="008027E9" w:rsidRPr="00E51BF5" w:rsidRDefault="008027E9" w:rsidP="00AD3DD6">
            <w:pPr>
              <w:spacing w:after="0" w:line="240" w:lineRule="auto"/>
              <w:ind w:right="-17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Din care: 3.5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curs</w:t>
            </w:r>
          </w:p>
        </w:tc>
        <w:tc>
          <w:tcPr>
            <w:tcW w:w="817" w:type="dxa"/>
            <w:shd w:val="clear" w:color="auto" w:fill="auto"/>
          </w:tcPr>
          <w:p w14:paraId="2F6D8B52" w14:textId="77777777" w:rsidR="008027E9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28</w:t>
            </w:r>
          </w:p>
        </w:tc>
        <w:tc>
          <w:tcPr>
            <w:tcW w:w="1906" w:type="dxa"/>
            <w:shd w:val="clear" w:color="auto" w:fill="auto"/>
          </w:tcPr>
          <w:p w14:paraId="1886A554" w14:textId="77777777" w:rsidR="008027E9" w:rsidRPr="00E51BF5" w:rsidRDefault="008027E9" w:rsidP="00AD3DD6">
            <w:pPr>
              <w:spacing w:after="0" w:line="240" w:lineRule="auto"/>
              <w:ind w:right="-128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3.6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seminar</w:t>
            </w:r>
          </w:p>
        </w:tc>
        <w:tc>
          <w:tcPr>
            <w:tcW w:w="998" w:type="dxa"/>
            <w:shd w:val="clear" w:color="auto" w:fill="auto"/>
          </w:tcPr>
          <w:p w14:paraId="00814782" w14:textId="77777777" w:rsidR="001E4C42" w:rsidRPr="00E51BF5" w:rsidRDefault="00B24A7D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-</w:t>
            </w:r>
          </w:p>
        </w:tc>
      </w:tr>
      <w:tr w:rsidR="008027E9" w:rsidRPr="00E51BF5" w14:paraId="0BF8D4C6" w14:textId="77777777" w:rsidTr="00E95A7E">
        <w:tc>
          <w:tcPr>
            <w:tcW w:w="9458" w:type="dxa"/>
            <w:gridSpan w:val="5"/>
            <w:shd w:val="clear" w:color="auto" w:fill="auto"/>
          </w:tcPr>
          <w:p w14:paraId="0D4A780D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Distribu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ia fondului de timp:</w:t>
            </w:r>
          </w:p>
        </w:tc>
        <w:tc>
          <w:tcPr>
            <w:tcW w:w="998" w:type="dxa"/>
            <w:shd w:val="clear" w:color="auto" w:fill="auto"/>
          </w:tcPr>
          <w:p w14:paraId="7CEC2FF5" w14:textId="77777777" w:rsidR="008027E9" w:rsidRPr="00E51BF5" w:rsidRDefault="008027E9" w:rsidP="00AD3DD6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 w:rsidRPr="00E51BF5">
              <w:rPr>
                <w:color w:val="000000"/>
                <w:szCs w:val="24"/>
                <w:lang w:val="ro-RO"/>
              </w:rPr>
              <w:t>ore</w:t>
            </w:r>
          </w:p>
        </w:tc>
      </w:tr>
      <w:tr w:rsidR="00392608" w:rsidRPr="00E51BF5" w14:paraId="66B9C339" w14:textId="77777777" w:rsidTr="00E95A7E">
        <w:tc>
          <w:tcPr>
            <w:tcW w:w="9458" w:type="dxa"/>
            <w:gridSpan w:val="5"/>
            <w:shd w:val="clear" w:color="auto" w:fill="auto"/>
          </w:tcPr>
          <w:p w14:paraId="640772B0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Studiul după manual, suport de curs, bibliografie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noti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998" w:type="dxa"/>
            <w:shd w:val="clear" w:color="auto" w:fill="auto"/>
          </w:tcPr>
          <w:p w14:paraId="0CC7C413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</w:tr>
      <w:tr w:rsidR="00392608" w:rsidRPr="00E51BF5" w14:paraId="0F60AD47" w14:textId="77777777" w:rsidTr="00E95A7E">
        <w:tc>
          <w:tcPr>
            <w:tcW w:w="9458" w:type="dxa"/>
            <w:gridSpan w:val="5"/>
            <w:shd w:val="clear" w:color="auto" w:fill="auto"/>
          </w:tcPr>
          <w:p w14:paraId="7F8355FE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Documentare suplimentară în bibliotecă, pe platformele electronice de specialitate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pe teren</w:t>
            </w:r>
          </w:p>
        </w:tc>
        <w:tc>
          <w:tcPr>
            <w:tcW w:w="998" w:type="dxa"/>
            <w:shd w:val="clear" w:color="auto" w:fill="auto"/>
          </w:tcPr>
          <w:p w14:paraId="6C86EDE0" w14:textId="77777777" w:rsidR="00392608" w:rsidRPr="00E51BF5" w:rsidRDefault="00392608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E51BF5">
              <w:rPr>
                <w:rFonts w:eastAsia="Times New Roman"/>
                <w:color w:val="000000"/>
                <w:lang w:val="ro-RO"/>
              </w:rPr>
              <w:t>5</w:t>
            </w:r>
          </w:p>
        </w:tc>
      </w:tr>
      <w:tr w:rsidR="00392608" w:rsidRPr="00E51BF5" w14:paraId="1551E1AF" w14:textId="77777777" w:rsidTr="00E95A7E">
        <w:tc>
          <w:tcPr>
            <w:tcW w:w="9458" w:type="dxa"/>
            <w:gridSpan w:val="5"/>
            <w:shd w:val="clear" w:color="auto" w:fill="auto"/>
          </w:tcPr>
          <w:p w14:paraId="0AE43CDC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Pregătire seminarii/laboratoare, teme, referate, portofolii </w:t>
            </w:r>
            <w:r w:rsidR="00ED4EFF" w:rsidRPr="00E51BF5">
              <w:rPr>
                <w:szCs w:val="24"/>
                <w:lang w:val="ro-RO"/>
              </w:rPr>
              <w:t>ș</w:t>
            </w:r>
            <w:r w:rsidRPr="00E51BF5">
              <w:rPr>
                <w:szCs w:val="24"/>
                <w:lang w:val="ro-RO"/>
              </w:rPr>
              <w:t>i eseuri</w:t>
            </w:r>
          </w:p>
        </w:tc>
        <w:tc>
          <w:tcPr>
            <w:tcW w:w="998" w:type="dxa"/>
            <w:shd w:val="clear" w:color="auto" w:fill="auto"/>
          </w:tcPr>
          <w:p w14:paraId="70FF8302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4B57A30F" w14:textId="77777777" w:rsidTr="00E95A7E">
        <w:tc>
          <w:tcPr>
            <w:tcW w:w="9458" w:type="dxa"/>
            <w:gridSpan w:val="5"/>
            <w:shd w:val="clear" w:color="auto" w:fill="auto"/>
          </w:tcPr>
          <w:p w14:paraId="014BB717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Tutoriat</w:t>
            </w:r>
          </w:p>
        </w:tc>
        <w:tc>
          <w:tcPr>
            <w:tcW w:w="998" w:type="dxa"/>
            <w:shd w:val="clear" w:color="auto" w:fill="auto"/>
          </w:tcPr>
          <w:p w14:paraId="50BBAFE4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392608" w:rsidRPr="00E51BF5" w14:paraId="20B6B22F" w14:textId="77777777" w:rsidTr="00E95A7E">
        <w:tc>
          <w:tcPr>
            <w:tcW w:w="9458" w:type="dxa"/>
            <w:gridSpan w:val="5"/>
            <w:shd w:val="clear" w:color="auto" w:fill="auto"/>
          </w:tcPr>
          <w:p w14:paraId="7C174499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 xml:space="preserve">Examinări </w:t>
            </w:r>
          </w:p>
        </w:tc>
        <w:tc>
          <w:tcPr>
            <w:tcW w:w="998" w:type="dxa"/>
            <w:shd w:val="clear" w:color="auto" w:fill="auto"/>
          </w:tcPr>
          <w:p w14:paraId="23AF8CBB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392608" w:rsidRPr="00E51BF5" w14:paraId="227B7C84" w14:textId="77777777" w:rsidTr="00E95A7E">
        <w:tc>
          <w:tcPr>
            <w:tcW w:w="9458" w:type="dxa"/>
            <w:gridSpan w:val="5"/>
            <w:shd w:val="clear" w:color="auto" w:fill="auto"/>
          </w:tcPr>
          <w:p w14:paraId="1BDE7D28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Alte activită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 xml:space="preserve">i: </w:t>
            </w:r>
          </w:p>
        </w:tc>
        <w:tc>
          <w:tcPr>
            <w:tcW w:w="998" w:type="dxa"/>
            <w:shd w:val="clear" w:color="auto" w:fill="auto"/>
          </w:tcPr>
          <w:p w14:paraId="41743755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color w:val="000000"/>
                <w:szCs w:val="24"/>
                <w:lang w:val="ro-RO"/>
              </w:rPr>
            </w:pPr>
            <w:r>
              <w:rPr>
                <w:rFonts w:eastAsia="Times New Roman"/>
                <w:color w:val="000000"/>
                <w:lang w:val="ro-RO"/>
              </w:rPr>
              <w:t>2</w:t>
            </w:r>
          </w:p>
        </w:tc>
      </w:tr>
      <w:tr w:rsidR="00392608" w:rsidRPr="00E51BF5" w14:paraId="21BA2AF7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7664961D" w14:textId="77777777" w:rsidR="0039260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3.7. Total ore studiu individual</w:t>
            </w:r>
          </w:p>
        </w:tc>
        <w:tc>
          <w:tcPr>
            <w:tcW w:w="817" w:type="dxa"/>
            <w:shd w:val="clear" w:color="auto" w:fill="auto"/>
          </w:tcPr>
          <w:p w14:paraId="0BDFBF4A" w14:textId="77777777" w:rsidR="00392608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22</w:t>
            </w:r>
          </w:p>
        </w:tc>
      </w:tr>
      <w:tr w:rsidR="00E95A7E" w:rsidRPr="00E51BF5" w14:paraId="3B89F7FC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7E0EF83B" w14:textId="77777777" w:rsidR="00E95A7E" w:rsidRPr="00E51BF5" w:rsidRDefault="00E95A7E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3.8. Total ore pe semestru</w:t>
            </w:r>
          </w:p>
        </w:tc>
        <w:tc>
          <w:tcPr>
            <w:tcW w:w="817" w:type="dxa"/>
            <w:shd w:val="clear" w:color="auto" w:fill="auto"/>
          </w:tcPr>
          <w:p w14:paraId="1F55D99C" w14:textId="77777777" w:rsidR="00E95A7E" w:rsidRPr="00E51BF5" w:rsidRDefault="00B24A7D" w:rsidP="00AD3DD6">
            <w:pPr>
              <w:spacing w:after="0" w:line="240" w:lineRule="auto"/>
              <w:contextualSpacing/>
              <w:jc w:val="center"/>
              <w:rPr>
                <w:rFonts w:eastAsia="Times New Roman"/>
                <w:lang w:val="ro-RO"/>
              </w:rPr>
            </w:pPr>
            <w:r>
              <w:rPr>
                <w:rFonts w:eastAsia="Times New Roman"/>
                <w:lang w:val="ro-RO"/>
              </w:rPr>
              <w:t>50</w:t>
            </w:r>
          </w:p>
        </w:tc>
      </w:tr>
      <w:tr w:rsidR="00E95A7E" w:rsidRPr="00E51BF5" w14:paraId="3D5C817E" w14:textId="77777777" w:rsidTr="00E95A7E">
        <w:trPr>
          <w:gridAfter w:val="4"/>
          <w:wAfter w:w="5718" w:type="dxa"/>
        </w:trPr>
        <w:tc>
          <w:tcPr>
            <w:tcW w:w="3921" w:type="dxa"/>
            <w:shd w:val="clear" w:color="auto" w:fill="auto"/>
          </w:tcPr>
          <w:p w14:paraId="36FB4EDF" w14:textId="77777777" w:rsidR="00E95A7E" w:rsidRPr="00E51BF5" w:rsidRDefault="00E95A7E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3.9. Numărul de puncte de credit</w:t>
            </w:r>
          </w:p>
        </w:tc>
        <w:tc>
          <w:tcPr>
            <w:tcW w:w="817" w:type="dxa"/>
            <w:shd w:val="clear" w:color="auto" w:fill="auto"/>
          </w:tcPr>
          <w:p w14:paraId="620D900F" w14:textId="77777777" w:rsidR="00E95A7E" w:rsidRPr="00E51BF5" w:rsidRDefault="00B24A7D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</w:tbl>
    <w:p w14:paraId="20E083C9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</w:p>
    <w:p w14:paraId="602C74A8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4. Precondi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 </w:t>
      </w:r>
      <w:r w:rsidRPr="00E51BF5">
        <w:rPr>
          <w:szCs w:val="24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1"/>
        <w:gridCol w:w="6535"/>
      </w:tblGrid>
      <w:tr w:rsidR="008027E9" w:rsidRPr="00E51BF5" w14:paraId="3C8E314B" w14:textId="77777777" w:rsidTr="003B7840">
        <w:tc>
          <w:tcPr>
            <w:tcW w:w="3888" w:type="dxa"/>
          </w:tcPr>
          <w:p w14:paraId="24844B8A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curriculum</w:t>
            </w:r>
          </w:p>
        </w:tc>
        <w:tc>
          <w:tcPr>
            <w:tcW w:w="6480" w:type="dxa"/>
          </w:tcPr>
          <w:p w14:paraId="0252C64D" w14:textId="77777777" w:rsidR="008027E9" w:rsidRPr="00E51BF5" w:rsidRDefault="008027E9" w:rsidP="00AD3DD6">
            <w:pPr>
              <w:spacing w:after="0" w:line="240" w:lineRule="auto"/>
              <w:ind w:left="284"/>
              <w:contextualSpacing/>
              <w:rPr>
                <w:szCs w:val="24"/>
                <w:lang w:val="ro-RO"/>
              </w:rPr>
            </w:pPr>
          </w:p>
        </w:tc>
      </w:tr>
      <w:tr w:rsidR="008027E9" w:rsidRPr="00E51BF5" w14:paraId="4F61D4F5" w14:textId="77777777" w:rsidTr="003B7840">
        <w:tc>
          <w:tcPr>
            <w:tcW w:w="3888" w:type="dxa"/>
          </w:tcPr>
          <w:p w14:paraId="3605E25D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4.2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de competen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e</w:t>
            </w:r>
          </w:p>
        </w:tc>
        <w:tc>
          <w:tcPr>
            <w:tcW w:w="6480" w:type="dxa"/>
          </w:tcPr>
          <w:p w14:paraId="1AC9EBA5" w14:textId="77777777" w:rsidR="008027E9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Utilizarea adecvată a conceptelor în studiul </w:t>
            </w:r>
            <w:r w:rsidR="00282418">
              <w:rPr>
                <w:rFonts w:eastAsia="Times New Roman"/>
                <w:lang w:val="ro-RO"/>
              </w:rPr>
              <w:t>analizei discursului</w:t>
            </w:r>
            <w:r w:rsidRPr="00E51BF5">
              <w:rPr>
                <w:rFonts w:eastAsia="Times New Roman"/>
                <w:lang w:val="ro-RO"/>
              </w:rPr>
              <w:t xml:space="preserve">. Se vor face referiri la fonetica, lexicologia, morfologia, semantica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sintaxa limbii </w:t>
            </w:r>
            <w:r w:rsidR="00E4155A">
              <w:rPr>
                <w:rFonts w:eastAsia="Times New Roman"/>
                <w:lang w:val="ro-RO"/>
              </w:rPr>
              <w:t>maghiare</w:t>
            </w:r>
            <w:r w:rsidR="00B24A7D">
              <w:rPr>
                <w:rFonts w:eastAsia="Times New Roman"/>
                <w:lang w:val="ro-RO"/>
              </w:rPr>
              <w:t xml:space="preserve">, române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a limbilor moderne, în general.</w:t>
            </w:r>
          </w:p>
        </w:tc>
      </w:tr>
    </w:tbl>
    <w:p w14:paraId="7733A7CC" w14:textId="77777777" w:rsidR="009D4FD8" w:rsidRPr="00E51BF5" w:rsidRDefault="009D4FD8" w:rsidP="00AD3DD6">
      <w:pPr>
        <w:spacing w:after="0" w:line="240" w:lineRule="auto"/>
        <w:contextualSpacing/>
        <w:rPr>
          <w:b/>
          <w:szCs w:val="24"/>
          <w:lang w:val="ro-RO"/>
        </w:rPr>
      </w:pPr>
    </w:p>
    <w:p w14:paraId="13B9336D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5. 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</w:t>
      </w:r>
      <w:r w:rsidRPr="00E51BF5">
        <w:rPr>
          <w:szCs w:val="24"/>
          <w:lang w:val="ro-RO"/>
        </w:rPr>
        <w:t xml:space="preserve"> (acolo unde este cazul)</w:t>
      </w: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9"/>
        <w:gridCol w:w="6527"/>
      </w:tblGrid>
      <w:tr w:rsidR="008027E9" w:rsidRPr="00E51BF5" w14:paraId="748EFD49" w14:textId="77777777" w:rsidTr="003B7840">
        <w:tc>
          <w:tcPr>
            <w:tcW w:w="3896" w:type="dxa"/>
          </w:tcPr>
          <w:p w14:paraId="42F688E1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5.1</w:t>
            </w:r>
            <w:r w:rsidR="00BF122D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cursului</w:t>
            </w:r>
          </w:p>
        </w:tc>
        <w:tc>
          <w:tcPr>
            <w:tcW w:w="6472" w:type="dxa"/>
          </w:tcPr>
          <w:p w14:paraId="06EE06FE" w14:textId="77777777" w:rsidR="008027E9" w:rsidRPr="00E51BF5" w:rsidRDefault="003B7840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bCs/>
                <w:iCs/>
                <w:szCs w:val="24"/>
                <w:lang w:val="ro-RO"/>
              </w:rPr>
              <w:t xml:space="preserve">videoproiector, </w:t>
            </w:r>
            <w:r w:rsidRPr="00E51BF5">
              <w:rPr>
                <w:szCs w:val="24"/>
                <w:lang w:val="ro-RO"/>
              </w:rPr>
              <w:t xml:space="preserve"> ecran de proiecție (sau suprafață de proiecție), calculator, tablă, lumină naturală și/sau artificială, posibilitatea de reglare a gradului de luminozitate, </w:t>
            </w:r>
            <w:r w:rsidRPr="00E51BF5">
              <w:rPr>
                <w:bCs/>
                <w:iCs/>
                <w:szCs w:val="24"/>
                <w:lang w:val="ro-RO"/>
              </w:rPr>
              <w:t>internet.</w:t>
            </w:r>
          </w:p>
        </w:tc>
      </w:tr>
      <w:tr w:rsidR="008027E9" w:rsidRPr="00E51BF5" w14:paraId="06FE3394" w14:textId="77777777" w:rsidTr="003B7840">
        <w:tc>
          <w:tcPr>
            <w:tcW w:w="3896" w:type="dxa"/>
          </w:tcPr>
          <w:p w14:paraId="2C97D082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5.2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De </w:t>
            </w:r>
            <w:r w:rsidR="00392608" w:rsidRPr="00E51BF5">
              <w:rPr>
                <w:szCs w:val="24"/>
                <w:lang w:val="ro-RO"/>
              </w:rPr>
              <w:t>desfă</w:t>
            </w:r>
            <w:r w:rsidR="00ED4EFF" w:rsidRPr="00E51BF5">
              <w:rPr>
                <w:szCs w:val="24"/>
                <w:lang w:val="ro-RO"/>
              </w:rPr>
              <w:t>ș</w:t>
            </w:r>
            <w:r w:rsidR="00392608" w:rsidRPr="00E51BF5">
              <w:rPr>
                <w:szCs w:val="24"/>
                <w:lang w:val="ro-RO"/>
              </w:rPr>
              <w:t>urare</w:t>
            </w:r>
            <w:r w:rsidRPr="00E51BF5">
              <w:rPr>
                <w:szCs w:val="24"/>
                <w:lang w:val="ro-RO"/>
              </w:rPr>
              <w:t xml:space="preserve"> a </w:t>
            </w:r>
            <w:r w:rsidR="00392608" w:rsidRPr="00E51BF5">
              <w:rPr>
                <w:szCs w:val="24"/>
                <w:lang w:val="ro-RO"/>
              </w:rPr>
              <w:t>seminarului</w:t>
            </w:r>
          </w:p>
        </w:tc>
        <w:tc>
          <w:tcPr>
            <w:tcW w:w="6472" w:type="dxa"/>
          </w:tcPr>
          <w:p w14:paraId="5726CFC9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</w:tr>
    </w:tbl>
    <w:p w14:paraId="610D7B45" w14:textId="77777777" w:rsidR="00ED4EFF" w:rsidRPr="00E51BF5" w:rsidRDefault="00ED4EFF" w:rsidP="00AD3DD6">
      <w:pPr>
        <w:spacing w:after="0" w:line="240" w:lineRule="auto"/>
        <w:contextualSpacing/>
        <w:rPr>
          <w:b/>
          <w:szCs w:val="24"/>
          <w:lang w:val="ro-RO"/>
        </w:rPr>
      </w:pPr>
    </w:p>
    <w:p w14:paraId="5D3F0358" w14:textId="77777777" w:rsidR="008027E9" w:rsidRDefault="00ED4EFF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br w:type="page"/>
      </w:r>
      <w:r w:rsidR="008027E9" w:rsidRPr="00E51BF5">
        <w:rPr>
          <w:b/>
          <w:szCs w:val="24"/>
          <w:lang w:val="ro-RO"/>
        </w:rPr>
        <w:lastRenderedPageBreak/>
        <w:t>6. Competen</w:t>
      </w:r>
      <w:r w:rsidR="00850029" w:rsidRPr="00E51BF5">
        <w:rPr>
          <w:b/>
          <w:szCs w:val="24"/>
          <w:lang w:val="ro-RO"/>
        </w:rPr>
        <w:t>ț</w:t>
      </w:r>
      <w:r w:rsidR="008027E9" w:rsidRPr="00E51BF5">
        <w:rPr>
          <w:b/>
          <w:szCs w:val="24"/>
          <w:lang w:val="ro-RO"/>
        </w:rPr>
        <w:t>ele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9454"/>
      </w:tblGrid>
      <w:tr w:rsidR="008027E9" w:rsidRPr="00E51BF5" w14:paraId="79C26F08" w14:textId="77777777" w:rsidTr="00AD3DD6">
        <w:trPr>
          <w:cantSplit/>
          <w:trHeight w:val="1565"/>
        </w:trPr>
        <w:tc>
          <w:tcPr>
            <w:tcW w:w="1002" w:type="dxa"/>
            <w:shd w:val="clear" w:color="auto" w:fill="auto"/>
            <w:textDirection w:val="btLr"/>
            <w:vAlign w:val="center"/>
          </w:tcPr>
          <w:p w14:paraId="4DB24850" w14:textId="77777777" w:rsidR="00392608" w:rsidRPr="00E51BF5" w:rsidRDefault="008027E9" w:rsidP="00AD3DD6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 xml:space="preserve">e </w:t>
            </w:r>
          </w:p>
          <w:p w14:paraId="4B8D0B0A" w14:textId="77777777" w:rsidR="008027E9" w:rsidRPr="00E51BF5" w:rsidRDefault="008027E9" w:rsidP="00AD3DD6">
            <w:pPr>
              <w:spacing w:after="0" w:line="240" w:lineRule="auto"/>
              <w:ind w:left="113" w:right="113"/>
              <w:contextualSpacing/>
              <w:jc w:val="center"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profesionale</w:t>
            </w:r>
          </w:p>
        </w:tc>
        <w:tc>
          <w:tcPr>
            <w:tcW w:w="9454" w:type="dxa"/>
            <w:shd w:val="clear" w:color="auto" w:fill="auto"/>
          </w:tcPr>
          <w:p w14:paraId="7CED60A3" w14:textId="77777777" w:rsidR="00392608" w:rsidRPr="00E51BF5" w:rsidRDefault="00392608" w:rsidP="00AD3DD6">
            <w:pPr>
              <w:spacing w:after="0" w:line="240" w:lineRule="auto"/>
              <w:contextualSpacing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C1.2</w:t>
            </w:r>
            <w:r w:rsidRPr="00E51BF5">
              <w:rPr>
                <w:rFonts w:eastAsia="Times New Roman"/>
                <w:lang w:val="ro-RO"/>
              </w:rPr>
              <w:t xml:space="preserve"> Utilizarea aparatului conceptual specific domeniului pentru explicarea fenomenelor lingvistice fundamentale specifice </w:t>
            </w:r>
            <w:r w:rsidR="00ED4EFF" w:rsidRPr="00E51BF5">
              <w:rPr>
                <w:rFonts w:eastAsia="Times New Roman"/>
                <w:lang w:val="ro-RO"/>
              </w:rPr>
              <w:t>domeniului.</w:t>
            </w:r>
            <w:r w:rsidR="00C362E0">
              <w:rPr>
                <w:rFonts w:eastAsia="Times New Roman"/>
                <w:lang w:val="ro-RO"/>
              </w:rPr>
              <w:t xml:space="preserve"> </w:t>
            </w:r>
            <w:r w:rsidR="00C362E0">
              <w:t>Cunoaşterea tehnicilor de analiză a unui text în vederea traducerii.  Înţelegerea relaţiei dintre elementele discursive în vederea traducerii. Explicarea noţiunilor de context, co-text, implicatură, act de limbaj, presupoziţie, deixis, fenomene ale politeţii.</w:t>
            </w:r>
          </w:p>
          <w:p w14:paraId="39A13D88" w14:textId="77777777" w:rsidR="00666848" w:rsidRPr="00E51BF5" w:rsidRDefault="00392608" w:rsidP="00AD3DD6">
            <w:pPr>
              <w:pStyle w:val="BodyText"/>
              <w:contextualSpacing/>
              <w:jc w:val="both"/>
              <w:rPr>
                <w:sz w:val="22"/>
                <w:lang w:val="ro-RO"/>
              </w:rPr>
            </w:pPr>
            <w:r w:rsidRPr="00E51BF5">
              <w:rPr>
                <w:rFonts w:ascii="Times New Roman" w:hAnsi="Times New Roman"/>
                <w:b/>
                <w:lang w:val="ro-RO"/>
              </w:rPr>
              <w:t>C5.2</w:t>
            </w:r>
            <w:r w:rsidRPr="00E51BF5">
              <w:rPr>
                <w:rFonts w:ascii="Times New Roman" w:hAnsi="Times New Roman"/>
                <w:lang w:val="ro-RO"/>
              </w:rPr>
              <w:t xml:space="preserve"> Utilizarea no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iunilor, conceptelor respective pentru identificarea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 xml:space="preserve">i interpretarea unor chestiuni care pot afecta comunicarea profesională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institu</w:t>
            </w:r>
            <w:r w:rsidR="00850029" w:rsidRPr="00E51BF5">
              <w:rPr>
                <w:rFonts w:ascii="Times New Roman" w:hAnsi="Times New Roman"/>
                <w:lang w:val="ro-RO"/>
              </w:rPr>
              <w:t>ț</w:t>
            </w:r>
            <w:r w:rsidRPr="00E51BF5">
              <w:rPr>
                <w:rFonts w:ascii="Times New Roman" w:hAnsi="Times New Roman"/>
                <w:lang w:val="ro-RO"/>
              </w:rPr>
              <w:t xml:space="preserve">ională, atât în scris, cât </w:t>
            </w:r>
            <w:r w:rsidR="00ED4EFF" w:rsidRPr="00E51BF5">
              <w:rPr>
                <w:rFonts w:ascii="Times New Roman" w:hAnsi="Times New Roman"/>
                <w:lang w:val="ro-RO"/>
              </w:rPr>
              <w:t>ș</w:t>
            </w:r>
            <w:r w:rsidRPr="00E51BF5">
              <w:rPr>
                <w:rFonts w:ascii="Times New Roman" w:hAnsi="Times New Roman"/>
                <w:lang w:val="ro-RO"/>
              </w:rPr>
              <w:t>i la nivel oral.</w:t>
            </w:r>
            <w:r w:rsidR="00C362E0">
              <w:rPr>
                <w:rFonts w:ascii="Times New Roman" w:hAnsi="Times New Roman"/>
                <w:lang w:val="ro-RO"/>
              </w:rPr>
              <w:t xml:space="preserve"> </w:t>
            </w:r>
            <w:r w:rsidR="00C362E0" w:rsidRPr="00C362E0">
              <w:rPr>
                <w:rFonts w:ascii="Times New Roman" w:hAnsi="Times New Roman"/>
                <w:lang w:val="ro-RO"/>
              </w:rPr>
              <w:t>Efectuarea de traduceri corecte şi funcţionale care să respecte echivalenţele discursive între limba sursă şi limba ţintă</w:t>
            </w:r>
            <w:r w:rsidR="00C362E0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8027E9" w:rsidRPr="00E51BF5" w14:paraId="14A3D590" w14:textId="77777777" w:rsidTr="00AD3DD6">
        <w:trPr>
          <w:cantSplit/>
          <w:trHeight w:val="1775"/>
        </w:trPr>
        <w:tc>
          <w:tcPr>
            <w:tcW w:w="1002" w:type="dxa"/>
            <w:shd w:val="clear" w:color="auto" w:fill="auto"/>
            <w:textDirection w:val="btLr"/>
          </w:tcPr>
          <w:p w14:paraId="332A83F0" w14:textId="77777777" w:rsidR="008027E9" w:rsidRPr="00E51BF5" w:rsidRDefault="008027E9" w:rsidP="00AD3DD6">
            <w:pPr>
              <w:spacing w:after="0" w:line="240" w:lineRule="auto"/>
              <w:ind w:left="113" w:right="113"/>
              <w:contextualSpacing/>
              <w:rPr>
                <w:b/>
                <w:szCs w:val="24"/>
                <w:lang w:val="ro-RO"/>
              </w:rPr>
            </w:pPr>
            <w:r w:rsidRPr="00E51BF5">
              <w:rPr>
                <w:b/>
                <w:szCs w:val="24"/>
                <w:lang w:val="ro-RO"/>
              </w:rPr>
              <w:t>Competen</w:t>
            </w:r>
            <w:r w:rsidR="00850029" w:rsidRPr="00E51BF5">
              <w:rPr>
                <w:b/>
                <w:szCs w:val="24"/>
                <w:lang w:val="ro-RO"/>
              </w:rPr>
              <w:t>ț</w:t>
            </w:r>
            <w:r w:rsidRPr="00E51BF5">
              <w:rPr>
                <w:b/>
                <w:szCs w:val="24"/>
                <w:lang w:val="ro-RO"/>
              </w:rPr>
              <w:t>e transversale</w:t>
            </w:r>
          </w:p>
        </w:tc>
        <w:tc>
          <w:tcPr>
            <w:tcW w:w="9454" w:type="dxa"/>
            <w:shd w:val="clear" w:color="auto" w:fill="auto"/>
          </w:tcPr>
          <w:p w14:paraId="011455C0" w14:textId="77777777" w:rsidR="00392608" w:rsidRPr="00E51BF5" w:rsidRDefault="00392608" w:rsidP="00AD3DD6">
            <w:pPr>
              <w:spacing w:after="0" w:line="240" w:lineRule="auto"/>
              <w:ind w:right="173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CT1, CT2, CT3</w:t>
            </w:r>
            <w:r w:rsidRPr="00E51BF5">
              <w:rPr>
                <w:rFonts w:eastAsia="Times New Roman"/>
                <w:lang w:val="ro-RO"/>
              </w:rPr>
              <w:t xml:space="preserve"> - conform grilei RNCIS</w:t>
            </w:r>
          </w:p>
          <w:p w14:paraId="042A45C6" w14:textId="77777777" w:rsidR="00392608" w:rsidRPr="00E51BF5" w:rsidRDefault="00392608" w:rsidP="00AD3DD6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CT1</w:t>
            </w:r>
            <w:r w:rsidRPr="00E51BF5">
              <w:rPr>
                <w:rFonts w:eastAsia="Times New Roman"/>
                <w:lang w:val="ro-RO"/>
              </w:rPr>
              <w:t xml:space="preserve">. Gestionarea optimă a sarcinilor profesionale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deprinderea executării lor la termen, în mod riguros, eficient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responsabil; Respectarea normelor de etică specifice domeniului </w:t>
            </w:r>
          </w:p>
          <w:p w14:paraId="64C3780C" w14:textId="77777777" w:rsidR="00392608" w:rsidRPr="00E51BF5" w:rsidRDefault="00392608" w:rsidP="00AD3DD6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CT2.</w:t>
            </w:r>
            <w:r w:rsidRPr="00E51BF5">
              <w:rPr>
                <w:rFonts w:eastAsia="Times New Roman"/>
                <w:lang w:val="ro-RO"/>
              </w:rPr>
              <w:t xml:space="preserve"> Aplicarea tehnicilor de rela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ionare în echipă; dezvoltarea capacită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ilor empatice de comunicare interpersonală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de asumare de roluri specifice în cadrul muncii în echipă având drept scop eficientizarea activită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 grupului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economisirea resurselor, inclusiv a celor umane</w:t>
            </w:r>
          </w:p>
          <w:p w14:paraId="39E155C2" w14:textId="77777777" w:rsidR="00666848" w:rsidRPr="00E51BF5" w:rsidRDefault="0039260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b/>
                <w:lang w:val="ro-RO"/>
              </w:rPr>
              <w:t>CT3.</w:t>
            </w:r>
            <w:r w:rsidRPr="00E51BF5">
              <w:rPr>
                <w:rFonts w:eastAsia="Times New Roman"/>
                <w:lang w:val="ro-RO"/>
              </w:rPr>
              <w:t xml:space="preserve"> Identificarea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utilizarea unor metode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tehnici eficiente de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are; 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tientizarea motiva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 xml:space="preserve">iilor extrinseci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intrinseci ale învă</w:t>
            </w:r>
            <w:r w:rsidR="00850029" w:rsidRPr="00E51BF5">
              <w:rPr>
                <w:rFonts w:eastAsia="Times New Roman"/>
                <w:lang w:val="ro-RO"/>
              </w:rPr>
              <w:t>ț</w:t>
            </w:r>
            <w:r w:rsidRPr="00E51BF5">
              <w:rPr>
                <w:rFonts w:eastAsia="Times New Roman"/>
                <w:lang w:val="ro-RO"/>
              </w:rPr>
              <w:t>ării continue</w:t>
            </w:r>
          </w:p>
        </w:tc>
      </w:tr>
    </w:tbl>
    <w:p w14:paraId="6C449FDF" w14:textId="77777777" w:rsidR="00BF122D" w:rsidRPr="00E51BF5" w:rsidRDefault="00BF122D" w:rsidP="00AD3DD6">
      <w:pPr>
        <w:spacing w:after="0" w:line="240" w:lineRule="auto"/>
        <w:contextualSpacing/>
        <w:rPr>
          <w:b/>
          <w:szCs w:val="24"/>
          <w:lang w:val="ro-RO"/>
        </w:rPr>
      </w:pPr>
    </w:p>
    <w:p w14:paraId="1FB60E72" w14:textId="77777777" w:rsidR="008027E9" w:rsidRDefault="008027E9" w:rsidP="00AD3DD6">
      <w:pPr>
        <w:spacing w:after="0" w:line="240" w:lineRule="auto"/>
        <w:contextualSpacing/>
        <w:rPr>
          <w:szCs w:val="24"/>
          <w:lang w:val="ro-RO"/>
        </w:rPr>
      </w:pPr>
      <w:r w:rsidRPr="00E51BF5">
        <w:rPr>
          <w:b/>
          <w:szCs w:val="24"/>
          <w:lang w:val="ro-RO"/>
        </w:rPr>
        <w:t>7. Obiectivele disciplinei</w:t>
      </w:r>
      <w:r w:rsidRPr="00E51BF5">
        <w:rPr>
          <w:szCs w:val="24"/>
          <w:lang w:val="ro-RO"/>
        </w:rPr>
        <w:t xml:space="preserve"> (reie</w:t>
      </w:r>
      <w:r w:rsidR="00ED4EFF" w:rsidRPr="00E51BF5">
        <w:rPr>
          <w:szCs w:val="24"/>
          <w:lang w:val="ro-RO"/>
        </w:rPr>
        <w:t>ș</w:t>
      </w:r>
      <w:r w:rsidRPr="00E51BF5">
        <w:rPr>
          <w:szCs w:val="24"/>
          <w:lang w:val="ro-RO"/>
        </w:rPr>
        <w:t>ind din grila competen</w:t>
      </w:r>
      <w:r w:rsidR="00850029" w:rsidRPr="00E51BF5">
        <w:rPr>
          <w:szCs w:val="24"/>
          <w:lang w:val="ro-RO"/>
        </w:rPr>
        <w:t>ț</w:t>
      </w:r>
      <w:r w:rsidRPr="00E51BF5">
        <w:rPr>
          <w:szCs w:val="24"/>
          <w:lang w:val="ro-RO"/>
        </w:rPr>
        <w:t>elor acumulate)</w:t>
      </w:r>
    </w:p>
    <w:p w14:paraId="2654FC90" w14:textId="77777777" w:rsidR="00E51BF5" w:rsidRPr="00E51BF5" w:rsidRDefault="00E51BF5" w:rsidP="00AD3DD6">
      <w:pPr>
        <w:spacing w:after="0" w:line="240" w:lineRule="auto"/>
        <w:contextualSpacing/>
        <w:rPr>
          <w:szCs w:val="24"/>
          <w:lang w:val="ro-RO"/>
        </w:rPr>
      </w:pPr>
    </w:p>
    <w:tbl>
      <w:tblPr>
        <w:tblpPr w:leftFromText="187" w:rightFromText="187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8661"/>
      </w:tblGrid>
      <w:tr w:rsidR="008027E9" w:rsidRPr="00E51BF5" w14:paraId="63EFC659" w14:textId="77777777" w:rsidTr="00AD3DD6">
        <w:tc>
          <w:tcPr>
            <w:tcW w:w="1795" w:type="dxa"/>
            <w:shd w:val="clear" w:color="auto" w:fill="auto"/>
          </w:tcPr>
          <w:p w14:paraId="2569EF4A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Obiectivul general al disciplinei</w:t>
            </w:r>
          </w:p>
        </w:tc>
        <w:tc>
          <w:tcPr>
            <w:tcW w:w="8661" w:type="dxa"/>
            <w:shd w:val="clear" w:color="auto" w:fill="auto"/>
          </w:tcPr>
          <w:p w14:paraId="6C0DAE97" w14:textId="77777777" w:rsidR="008027E9" w:rsidRPr="00E51BF5" w:rsidRDefault="00392608" w:rsidP="00AD3DD6">
            <w:pPr>
              <w:numPr>
                <w:ilvl w:val="0"/>
                <w:numId w:val="18"/>
              </w:numPr>
              <w:spacing w:after="0" w:line="240" w:lineRule="auto"/>
              <w:ind w:left="337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Con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tientizarea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folosirea corectă a caracteristicilor </w:t>
            </w:r>
            <w:r w:rsidR="00E4155A">
              <w:rPr>
                <w:rFonts w:eastAsia="Times New Roman"/>
                <w:lang w:val="ro-RO"/>
              </w:rPr>
              <w:t>textologice</w:t>
            </w:r>
            <w:r w:rsidR="00C362E0">
              <w:rPr>
                <w:rFonts w:eastAsia="Times New Roman"/>
                <w:lang w:val="ro-RO"/>
              </w:rPr>
              <w:t xml:space="preserve">. </w:t>
            </w:r>
            <w:r w:rsidR="00C362E0">
              <w:t>Familiarizarea cu o serie de aspecte teoretice ş</w:t>
            </w:r>
            <w:r w:rsidR="00282418">
              <w:t>i practice specifice activităţ</w:t>
            </w:r>
            <w:r w:rsidR="00C362E0">
              <w:t>ii de traducător.</w:t>
            </w:r>
          </w:p>
        </w:tc>
      </w:tr>
      <w:tr w:rsidR="008027E9" w:rsidRPr="00E51BF5" w14:paraId="42F8154D" w14:textId="77777777" w:rsidTr="00AD3DD6">
        <w:tc>
          <w:tcPr>
            <w:tcW w:w="1795" w:type="dxa"/>
            <w:shd w:val="clear" w:color="auto" w:fill="auto"/>
          </w:tcPr>
          <w:p w14:paraId="009928F7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7.2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Obiectivele specifice</w:t>
            </w:r>
          </w:p>
        </w:tc>
        <w:tc>
          <w:tcPr>
            <w:tcW w:w="8661" w:type="dxa"/>
            <w:shd w:val="clear" w:color="auto" w:fill="auto"/>
          </w:tcPr>
          <w:p w14:paraId="0EC53D09" w14:textId="77777777" w:rsidR="00E4155A" w:rsidRPr="004F2339" w:rsidRDefault="00E4155A" w:rsidP="00AD3DD6">
            <w:pPr>
              <w:spacing w:after="0" w:line="240" w:lineRule="auto"/>
              <w:ind w:left="360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4F2339">
              <w:rPr>
                <w:rFonts w:eastAsia="Corbel"/>
                <w:szCs w:val="24"/>
                <w:u w:val="single"/>
                <w:shd w:val="clear" w:color="auto" w:fill="FFFFFF"/>
                <w:lang w:val="ro-RO"/>
              </w:rPr>
              <w:t>A. Obiective cognitive</w:t>
            </w:r>
          </w:p>
          <w:p w14:paraId="3FC349AD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4F2339">
              <w:rPr>
                <w:rFonts w:eastAsia="Corbel"/>
                <w:szCs w:val="24"/>
                <w:shd w:val="clear" w:color="auto" w:fill="FFFFFF"/>
                <w:lang w:val="ro-RO"/>
              </w:rPr>
              <w:t>1.Cunoaşterea şi înţelegerea diferenţelor dintre limbile indo-europene şi limba maghiară în ceea ce priveşte structura semantică</w:t>
            </w:r>
            <w:r>
              <w:rPr>
                <w:rFonts w:eastAsia="Corbel"/>
                <w:szCs w:val="24"/>
                <w:shd w:val="clear" w:color="auto" w:fill="FFFFFF"/>
                <w:lang w:val="ro-RO"/>
              </w:rPr>
              <w:t>, gramaticală şi textologică</w:t>
            </w:r>
            <w:r w:rsidRPr="004F2339">
              <w:rPr>
                <w:rFonts w:eastAsia="Corbel"/>
                <w:szCs w:val="24"/>
                <w:shd w:val="clear" w:color="auto" w:fill="FFFFFF"/>
                <w:lang w:val="ro-RO"/>
              </w:rPr>
              <w:t>.</w:t>
            </w:r>
          </w:p>
          <w:p w14:paraId="41EE5B29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4F2339">
              <w:rPr>
                <w:rFonts w:eastAsia="Corbel"/>
                <w:szCs w:val="24"/>
                <w:shd w:val="clear" w:color="auto" w:fill="FFFFFF"/>
                <w:lang w:val="ro-RO"/>
              </w:rPr>
              <w:t xml:space="preserve">2. </w:t>
            </w:r>
            <w:r w:rsidRPr="004F2339">
              <w:rPr>
                <w:rFonts w:eastAsia="Corbel"/>
                <w:szCs w:val="24"/>
                <w:shd w:val="clear" w:color="auto" w:fill="FFFFFF"/>
                <w:lang w:val="fr-FR"/>
              </w:rPr>
              <w:t xml:space="preserve">Recunoaşterea relaţiilor logice a semnului lingvistic </w:t>
            </w:r>
          </w:p>
          <w:p w14:paraId="702C05DD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rPr>
                <w:rFonts w:eastAsia="Corbel"/>
                <w:szCs w:val="24"/>
                <w:shd w:val="clear" w:color="auto" w:fill="FFFFFF"/>
                <w:lang w:val="ro-RO"/>
              </w:rPr>
            </w:pPr>
            <w:r w:rsidRPr="004F2339">
              <w:rPr>
                <w:rFonts w:eastAsia="Corbel"/>
                <w:szCs w:val="24"/>
                <w:shd w:val="clear" w:color="auto" w:fill="FFFFFF"/>
                <w:lang w:val="fr-FR"/>
              </w:rPr>
              <w:t xml:space="preserve">3. </w:t>
            </w:r>
            <w:r w:rsidRPr="004F2339">
              <w:rPr>
                <w:szCs w:val="24"/>
                <w:lang w:val="ro-RO"/>
              </w:rPr>
              <w:t>Cunoaşterea celor mai importante termeni şi concepte în sfera sen</w:t>
            </w:r>
            <w:r>
              <w:rPr>
                <w:szCs w:val="24"/>
                <w:lang w:val="ro-RO"/>
              </w:rPr>
              <w:t>s</w:t>
            </w:r>
            <w:r w:rsidRPr="004F2339">
              <w:rPr>
                <w:szCs w:val="24"/>
                <w:lang w:val="ro-RO"/>
              </w:rPr>
              <w:t>urilor</w:t>
            </w:r>
            <w:r>
              <w:rPr>
                <w:szCs w:val="24"/>
                <w:lang w:val="ro-RO"/>
              </w:rPr>
              <w:t xml:space="preserve"> şi a textologiei</w:t>
            </w:r>
            <w:r w:rsidRPr="004F2339">
              <w:rPr>
                <w:szCs w:val="24"/>
                <w:lang w:val="ro-RO"/>
              </w:rPr>
              <w:t>;</w:t>
            </w:r>
          </w:p>
          <w:p w14:paraId="63E9E48C" w14:textId="77777777" w:rsidR="00E4155A" w:rsidRPr="004F2339" w:rsidRDefault="00E4155A" w:rsidP="00AD3DD6">
            <w:pPr>
              <w:spacing w:after="0" w:line="240" w:lineRule="auto"/>
              <w:ind w:left="360" w:right="111"/>
              <w:contextualSpacing/>
              <w:jc w:val="both"/>
              <w:rPr>
                <w:rFonts w:eastAsia="Corbel"/>
                <w:szCs w:val="24"/>
                <w:u w:val="single"/>
                <w:shd w:val="clear" w:color="auto" w:fill="FFFFFF"/>
                <w:lang w:val="fr-FR"/>
              </w:rPr>
            </w:pPr>
          </w:p>
          <w:p w14:paraId="1EF1B30A" w14:textId="77777777" w:rsidR="00E4155A" w:rsidRPr="004F2339" w:rsidRDefault="00E4155A" w:rsidP="00AD3DD6">
            <w:pPr>
              <w:spacing w:after="0" w:line="240" w:lineRule="auto"/>
              <w:ind w:left="360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  <w:r w:rsidRPr="004F2339">
              <w:rPr>
                <w:rFonts w:eastAsia="Corbel"/>
                <w:szCs w:val="24"/>
                <w:u w:val="single"/>
                <w:shd w:val="clear" w:color="auto" w:fill="FFFFFF"/>
              </w:rPr>
              <w:t>B. Obiective procedural</w:t>
            </w:r>
          </w:p>
          <w:p w14:paraId="396E5ADA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  <w:r w:rsidRPr="004F2339">
              <w:rPr>
                <w:rFonts w:eastAsia="Corbel"/>
                <w:szCs w:val="24"/>
                <w:shd w:val="clear" w:color="auto" w:fill="FFFFFF"/>
              </w:rPr>
              <w:t>1. Analiza corectă a sensurilor lexicale</w:t>
            </w:r>
          </w:p>
          <w:p w14:paraId="59A03D54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  <w:lang w:val="fr-FR"/>
              </w:rPr>
            </w:pPr>
            <w:r w:rsidRPr="004F2339">
              <w:rPr>
                <w:rFonts w:eastAsia="Corbel"/>
                <w:szCs w:val="24"/>
                <w:shd w:val="clear" w:color="auto" w:fill="FFFFFF"/>
                <w:lang w:val="fr-FR"/>
              </w:rPr>
              <w:t>2. Adaptarea metodelor teoretice la situaţii de folosire practică a noţiunilor de semantică</w:t>
            </w:r>
          </w:p>
          <w:p w14:paraId="735D9B13" w14:textId="77777777" w:rsidR="00E4155A" w:rsidRPr="004F2339" w:rsidRDefault="00E4155A" w:rsidP="00AD3DD6">
            <w:pPr>
              <w:spacing w:after="0" w:line="240" w:lineRule="auto"/>
              <w:ind w:left="425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  <w:r w:rsidRPr="004F2339">
              <w:rPr>
                <w:rFonts w:eastAsia="Corbel"/>
                <w:szCs w:val="24"/>
                <w:shd w:val="clear" w:color="auto" w:fill="FFFFFF"/>
              </w:rPr>
              <w:t>3. Delimitarea asemănărilor două limbi şi aplicarea unui sistem comparativ care să permită înţelegerea diferenţelor din cele două sisteme semantice.</w:t>
            </w:r>
            <w:r w:rsidR="00C362E0">
              <w:rPr>
                <w:rFonts w:eastAsia="Corbel"/>
                <w:szCs w:val="24"/>
                <w:shd w:val="clear" w:color="auto" w:fill="FFFFFF"/>
              </w:rPr>
              <w:t xml:space="preserve"> </w:t>
            </w:r>
            <w:r w:rsidR="00C362E0">
              <w:t>Îmbunătăţirea capacităţii studenţilor de a opera cu noţiuni de analiza discursului şi de a le aplica în practica traducerii.</w:t>
            </w:r>
            <w:r w:rsidRPr="004F2339">
              <w:rPr>
                <w:rFonts w:eastAsia="Corbel"/>
                <w:szCs w:val="24"/>
                <w:shd w:val="clear" w:color="auto" w:fill="FFFFFF"/>
              </w:rPr>
              <w:t xml:space="preserve">  </w:t>
            </w:r>
          </w:p>
          <w:p w14:paraId="691326C1" w14:textId="77777777" w:rsidR="00E4155A" w:rsidRPr="004F2339" w:rsidRDefault="00E4155A" w:rsidP="00AD3DD6">
            <w:pPr>
              <w:spacing w:after="0" w:line="240" w:lineRule="auto"/>
              <w:ind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</w:p>
          <w:p w14:paraId="1EC2A7E3" w14:textId="77777777" w:rsidR="00E4155A" w:rsidRPr="004F2339" w:rsidRDefault="00E4155A" w:rsidP="00AD3DD6">
            <w:pPr>
              <w:spacing w:after="0" w:line="240" w:lineRule="auto"/>
              <w:ind w:left="360" w:right="111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  <w:r w:rsidRPr="004F2339">
              <w:rPr>
                <w:rFonts w:eastAsia="Corbel"/>
                <w:szCs w:val="24"/>
                <w:u w:val="single"/>
                <w:shd w:val="clear" w:color="auto" w:fill="FFFFFF"/>
              </w:rPr>
              <w:t>C. Obiective atitudinale</w:t>
            </w:r>
          </w:p>
          <w:p w14:paraId="2CAF66EA" w14:textId="77777777" w:rsidR="00E4155A" w:rsidRPr="004F2339" w:rsidRDefault="00E4155A" w:rsidP="00AD3DD6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pacing w:after="0" w:line="240" w:lineRule="auto"/>
              <w:ind w:left="425" w:right="111" w:firstLine="0"/>
              <w:contextualSpacing/>
              <w:jc w:val="both"/>
              <w:rPr>
                <w:rFonts w:eastAsia="Corbel"/>
                <w:szCs w:val="24"/>
                <w:shd w:val="clear" w:color="auto" w:fill="FFFFFF"/>
              </w:rPr>
            </w:pPr>
            <w:r w:rsidRPr="004F2339">
              <w:rPr>
                <w:rFonts w:eastAsia="Corbel"/>
                <w:szCs w:val="24"/>
                <w:shd w:val="clear" w:color="auto" w:fill="FFFFFF"/>
              </w:rPr>
              <w:t>Conştientizarea importanţei  cunoaşterii co</w:t>
            </w:r>
            <w:r>
              <w:rPr>
                <w:rFonts w:eastAsia="Corbel"/>
                <w:szCs w:val="24"/>
                <w:shd w:val="clear" w:color="auto" w:fill="FFFFFF"/>
              </w:rPr>
              <w:t>recte a aspectelor semantice a</w:t>
            </w:r>
            <w:r w:rsidRPr="004F2339">
              <w:rPr>
                <w:rFonts w:eastAsia="Corbel"/>
                <w:szCs w:val="24"/>
                <w:shd w:val="clear" w:color="auto" w:fill="FFFFFF"/>
              </w:rPr>
              <w:t xml:space="preserve"> limbilor;</w:t>
            </w:r>
            <w:r>
              <w:rPr>
                <w:rFonts w:eastAsia="Corbel"/>
                <w:szCs w:val="24"/>
                <w:shd w:val="clear" w:color="auto" w:fill="FFFFFF"/>
              </w:rPr>
              <w:t xml:space="preserve"> </w:t>
            </w:r>
          </w:p>
          <w:p w14:paraId="600BE25E" w14:textId="77777777" w:rsidR="00D24033" w:rsidRPr="00E51BF5" w:rsidRDefault="00E4155A" w:rsidP="00AD3DD6">
            <w:pPr>
              <w:spacing w:after="0" w:line="240" w:lineRule="auto"/>
              <w:ind w:left="720"/>
              <w:contextualSpacing/>
              <w:jc w:val="both"/>
              <w:rPr>
                <w:szCs w:val="24"/>
                <w:lang w:val="ro-RO"/>
              </w:rPr>
            </w:pPr>
            <w:r w:rsidRPr="004F2339">
              <w:rPr>
                <w:rFonts w:eastAsia="Corbel"/>
                <w:szCs w:val="24"/>
                <w:shd w:val="clear" w:color="auto" w:fill="FFFFFF"/>
              </w:rPr>
              <w:t xml:space="preserve">Dezvoltarea la studenţi a  unor atitudini privind rolul cunoaşterii tuturor aspectelor </w:t>
            </w:r>
            <w:r>
              <w:rPr>
                <w:rFonts w:eastAsia="Corbel"/>
                <w:szCs w:val="24"/>
                <w:shd w:val="clear" w:color="auto" w:fill="FFFFFF"/>
              </w:rPr>
              <w:t>lexicale,</w:t>
            </w:r>
            <w:r w:rsidRPr="004F2339">
              <w:rPr>
                <w:rFonts w:eastAsia="Corbel"/>
                <w:szCs w:val="24"/>
                <w:shd w:val="clear" w:color="auto" w:fill="FFFFFF"/>
              </w:rPr>
              <w:t xml:space="preserve"> semantice </w:t>
            </w:r>
            <w:r>
              <w:rPr>
                <w:rFonts w:eastAsia="Corbel"/>
                <w:szCs w:val="24"/>
                <w:shd w:val="clear" w:color="auto" w:fill="FFFFFF"/>
              </w:rPr>
              <w:t xml:space="preserve">şi textologice </w:t>
            </w:r>
            <w:r w:rsidRPr="004F2339">
              <w:rPr>
                <w:rFonts w:eastAsia="Corbel"/>
                <w:szCs w:val="24"/>
                <w:shd w:val="clear" w:color="auto" w:fill="FFFFFF"/>
              </w:rPr>
              <w:t>ale limbii maghiare</w:t>
            </w:r>
            <w:r>
              <w:rPr>
                <w:rFonts w:eastAsia="Corbel"/>
                <w:szCs w:val="24"/>
                <w:shd w:val="clear" w:color="auto" w:fill="FFFFFF"/>
              </w:rPr>
              <w:t>.</w:t>
            </w:r>
          </w:p>
        </w:tc>
      </w:tr>
    </w:tbl>
    <w:p w14:paraId="42560D0E" w14:textId="77777777" w:rsidR="008027E9" w:rsidRPr="00E51BF5" w:rsidRDefault="008027E9" w:rsidP="00AD3DD6">
      <w:pPr>
        <w:spacing w:after="0" w:line="240" w:lineRule="auto"/>
        <w:contextualSpacing/>
        <w:rPr>
          <w:szCs w:val="24"/>
          <w:lang w:val="ro-RO"/>
        </w:rPr>
      </w:pPr>
    </w:p>
    <w:p w14:paraId="7A3FA301" w14:textId="77777777" w:rsidR="008027E9" w:rsidRDefault="008027E9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8.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</w:t>
      </w:r>
    </w:p>
    <w:p w14:paraId="765D6428" w14:textId="77777777" w:rsidR="00E51BF5" w:rsidRPr="00E51BF5" w:rsidRDefault="00E51BF5" w:rsidP="00AD3DD6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5"/>
        <w:gridCol w:w="2288"/>
        <w:gridCol w:w="1243"/>
      </w:tblGrid>
      <w:tr w:rsidR="00774235" w:rsidRPr="00E51BF5" w14:paraId="1EB2AB84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77D84A0A" w14:textId="77777777" w:rsidR="00774235" w:rsidRPr="00E51BF5" w:rsidRDefault="0077423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8.1. Curs</w:t>
            </w:r>
          </w:p>
        </w:tc>
        <w:tc>
          <w:tcPr>
            <w:tcW w:w="2288" w:type="dxa"/>
            <w:shd w:val="clear" w:color="auto" w:fill="auto"/>
          </w:tcPr>
          <w:p w14:paraId="3F9D570C" w14:textId="77777777" w:rsidR="00774235" w:rsidRPr="00E51BF5" w:rsidRDefault="00774235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Metode de predare</w:t>
            </w:r>
          </w:p>
        </w:tc>
        <w:tc>
          <w:tcPr>
            <w:tcW w:w="1243" w:type="dxa"/>
            <w:shd w:val="clear" w:color="auto" w:fill="auto"/>
          </w:tcPr>
          <w:p w14:paraId="1221331D" w14:textId="77777777" w:rsidR="00774235" w:rsidRPr="00E51BF5" w:rsidRDefault="00774235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Observa</w:t>
            </w:r>
            <w:r w:rsidR="00850029" w:rsidRPr="00E51BF5">
              <w:rPr>
                <w:szCs w:val="24"/>
                <w:lang w:val="ro-RO"/>
              </w:rPr>
              <w:t>ț</w:t>
            </w:r>
            <w:r w:rsidRPr="00E51BF5">
              <w:rPr>
                <w:szCs w:val="24"/>
                <w:lang w:val="ro-RO"/>
              </w:rPr>
              <w:t>ii</w:t>
            </w:r>
          </w:p>
        </w:tc>
      </w:tr>
      <w:tr w:rsidR="00282418" w:rsidRPr="00E51BF5" w14:paraId="74FA2AE7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476AA179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rFonts w:eastAsia="Times New Roman"/>
                <w:i/>
                <w:szCs w:val="24"/>
                <w:lang w:val="ro-RO"/>
              </w:rPr>
            </w:pPr>
            <w:r>
              <w:rPr>
                <w:szCs w:val="24"/>
                <w:lang w:val="hu-HU"/>
              </w:rPr>
              <w:t xml:space="preserve">Introducere în analiza discursului. Relaţia cu alte discipline lingvistice. </w:t>
            </w:r>
          </w:p>
        </w:tc>
        <w:tc>
          <w:tcPr>
            <w:tcW w:w="2288" w:type="dxa"/>
            <w:vMerge w:val="restart"/>
            <w:shd w:val="clear" w:color="auto" w:fill="auto"/>
          </w:tcPr>
          <w:p w14:paraId="60C17379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szCs w:val="24"/>
                <w:lang w:val="ro-RO"/>
              </w:rPr>
              <w:t xml:space="preserve">Prelegere, </w:t>
            </w:r>
            <w:r w:rsidRPr="00E51BF5">
              <w:rPr>
                <w:szCs w:val="24"/>
                <w:lang w:val="ro-RO"/>
              </w:rPr>
              <w:t xml:space="preserve">problematizare, </w:t>
            </w:r>
            <w:r w:rsidRPr="00E51BF5">
              <w:rPr>
                <w:szCs w:val="24"/>
                <w:lang w:val="ro-RO"/>
              </w:rPr>
              <w:lastRenderedPageBreak/>
              <w:t>explicație, demonstrație, dezbatere, metode deductive, asociere, exemplificare, exemple contrastive, prezentare prin</w:t>
            </w:r>
          </w:p>
          <w:p w14:paraId="7877E4F6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activități</w:t>
            </w:r>
          </w:p>
          <w:p w14:paraId="2A97A2CF" w14:textId="77777777" w:rsidR="00282418" w:rsidRPr="00E51BF5" w:rsidRDefault="00282418" w:rsidP="00AD3D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frontale</w:t>
            </w:r>
          </w:p>
          <w:p w14:paraId="164DB957" w14:textId="77777777" w:rsidR="00282418" w:rsidRPr="00E51BF5" w:rsidRDefault="00282418" w:rsidP="00AD3D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individuale</w:t>
            </w:r>
          </w:p>
          <w:p w14:paraId="3ECC05CA" w14:textId="77777777" w:rsidR="00282418" w:rsidRPr="00E51BF5" w:rsidRDefault="00282418" w:rsidP="00AD3D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în perechi</w:t>
            </w:r>
          </w:p>
          <w:p w14:paraId="3406DF4A" w14:textId="77777777" w:rsidR="00282418" w:rsidRPr="00E51BF5" w:rsidRDefault="00282418" w:rsidP="00AD3DD6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de grup</w:t>
            </w:r>
          </w:p>
          <w:p w14:paraId="06B0E99C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folosind</w:t>
            </w:r>
          </w:p>
          <w:p w14:paraId="4BFEC356" w14:textId="77777777" w:rsidR="00282418" w:rsidRPr="00E51BF5" w:rsidRDefault="00282418" w:rsidP="00AD3DD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manuale</w:t>
            </w:r>
          </w:p>
          <w:p w14:paraId="0798A6E4" w14:textId="77777777" w:rsidR="00282418" w:rsidRPr="00E51BF5" w:rsidRDefault="00282418" w:rsidP="00AD3DD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culegeri de exerciţii</w:t>
            </w:r>
          </w:p>
          <w:p w14:paraId="06473AD8" w14:textId="77777777" w:rsidR="00282418" w:rsidRPr="00E51BF5" w:rsidRDefault="00282418" w:rsidP="00AD3DD6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fişe de lucru</w:t>
            </w:r>
          </w:p>
        </w:tc>
        <w:tc>
          <w:tcPr>
            <w:tcW w:w="1243" w:type="dxa"/>
            <w:shd w:val="clear" w:color="auto" w:fill="auto"/>
          </w:tcPr>
          <w:p w14:paraId="75A924EA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lastRenderedPageBreak/>
              <w:t>2 ore</w:t>
            </w:r>
          </w:p>
        </w:tc>
      </w:tr>
      <w:tr w:rsidR="00282418" w:rsidRPr="00E51BF5" w14:paraId="009813ED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3C4CD089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  <w:lang w:val="hu-HU"/>
              </w:rPr>
              <w:lastRenderedPageBreak/>
              <w:t>Sintaxa frazei – textologie. Gramatica frazei – gramatica textului. Noţiuni fundamentale.</w:t>
            </w:r>
          </w:p>
        </w:tc>
        <w:tc>
          <w:tcPr>
            <w:tcW w:w="2288" w:type="dxa"/>
            <w:vMerge/>
            <w:shd w:val="clear" w:color="auto" w:fill="auto"/>
          </w:tcPr>
          <w:p w14:paraId="69E8F1E8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28953ED4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0BF82D50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65411475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t xml:space="preserve">Nivelurile traducerii şi analiza discursului. </w:t>
            </w:r>
            <w:r>
              <w:rPr>
                <w:szCs w:val="24"/>
              </w:rPr>
              <w:t>Structura textului. Conexiunea, coerenţa, coeziunea. Structurile sintactice specifice textului.</w:t>
            </w:r>
          </w:p>
        </w:tc>
        <w:tc>
          <w:tcPr>
            <w:tcW w:w="2288" w:type="dxa"/>
            <w:vMerge/>
            <w:shd w:val="clear" w:color="auto" w:fill="auto"/>
          </w:tcPr>
          <w:p w14:paraId="0CBAB08A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71134983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4BA978F0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4AEF2051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  <w:lang w:val="hu-HU"/>
              </w:rPr>
              <w:t xml:space="preserve">Semiotica textului. Textologia şi semiotica, discipline complementare. </w:t>
            </w:r>
            <w:r w:rsidRPr="00D17F1F">
              <w:rPr>
                <w:szCs w:val="24"/>
                <w:lang w:val="hu-HU"/>
              </w:rPr>
              <w:t>Procesul semiotic (Semioz</w:t>
            </w:r>
            <w:r>
              <w:rPr>
                <w:szCs w:val="24"/>
                <w:lang w:val="hu-HU"/>
              </w:rPr>
              <w:t>a</w:t>
            </w:r>
            <w:r w:rsidRPr="00D17F1F">
              <w:rPr>
                <w:szCs w:val="24"/>
                <w:lang w:val="hu-HU"/>
              </w:rPr>
              <w:t>)</w:t>
            </w:r>
            <w:r>
              <w:rPr>
                <w:szCs w:val="24"/>
                <w:lang w:val="hu-HU"/>
              </w:rPr>
              <w:t xml:space="preserve"> la diferite nivele ale limbii. Semioza la nivel textual.</w:t>
            </w:r>
          </w:p>
        </w:tc>
        <w:tc>
          <w:tcPr>
            <w:tcW w:w="2288" w:type="dxa"/>
            <w:vMerge/>
            <w:shd w:val="clear" w:color="auto" w:fill="auto"/>
          </w:tcPr>
          <w:p w14:paraId="52B79D7D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6921AAFC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451AE459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3F915E89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t>Funcţiile limbajului: macro funcţii şi micro funcţii. Analiza funcţională şi coerenţa.</w:t>
            </w:r>
          </w:p>
        </w:tc>
        <w:tc>
          <w:tcPr>
            <w:tcW w:w="2288" w:type="dxa"/>
            <w:vMerge/>
            <w:shd w:val="clear" w:color="auto" w:fill="auto"/>
          </w:tcPr>
          <w:p w14:paraId="46E49552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4A4145AD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063462C0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33B716C1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i/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 xml:space="preserve">Gramatica textului. </w:t>
            </w:r>
            <w:r>
              <w:rPr>
                <w:szCs w:val="24"/>
              </w:rPr>
              <w:t>Categoriile gramaticale şi rolul lor în text. Tipurile de anaforă în text. Tipurile de cataforă în text. Deixisul textual.</w:t>
            </w:r>
          </w:p>
        </w:tc>
        <w:tc>
          <w:tcPr>
            <w:tcW w:w="2288" w:type="dxa"/>
            <w:vMerge/>
            <w:shd w:val="clear" w:color="auto" w:fill="auto"/>
          </w:tcPr>
          <w:p w14:paraId="11F0BD96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5BA5E44E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6B6C9DF1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22BD0E22" w14:textId="77777777" w:rsidR="00282418" w:rsidRPr="00E51BF5" w:rsidRDefault="00282418" w:rsidP="00AD3DD6">
            <w:pPr>
              <w:pStyle w:val="ListParagraph"/>
              <w:numPr>
                <w:ilvl w:val="0"/>
                <w:numId w:val="19"/>
              </w:numPr>
              <w:tabs>
                <w:tab w:val="left" w:pos="29"/>
                <w:tab w:val="left" w:pos="313"/>
              </w:tabs>
              <w:spacing w:after="0" w:line="240" w:lineRule="auto"/>
              <w:ind w:left="454" w:right="180" w:hanging="425"/>
              <w:jc w:val="both"/>
              <w:rPr>
                <w:i/>
                <w:szCs w:val="24"/>
                <w:lang w:val="ro-RO"/>
              </w:rPr>
            </w:pPr>
            <w:r>
              <w:rPr>
                <w:szCs w:val="24"/>
                <w:lang w:val="hu-HU"/>
              </w:rPr>
              <w:t xml:space="preserve">Semantica textului. </w:t>
            </w:r>
            <w:r>
              <w:rPr>
                <w:szCs w:val="24"/>
              </w:rPr>
              <w:t xml:space="preserve">Relaţii lexicale în constituirea sensului textual. </w:t>
            </w:r>
            <w:r>
              <w:t>Structurarea mesajului in discurs.</w:t>
            </w:r>
          </w:p>
        </w:tc>
        <w:tc>
          <w:tcPr>
            <w:tcW w:w="2288" w:type="dxa"/>
            <w:vMerge/>
            <w:shd w:val="clear" w:color="auto" w:fill="auto"/>
          </w:tcPr>
          <w:p w14:paraId="49D3F289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630C56D9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717E226E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40F421F5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</w:rPr>
              <w:t>Elementele coeziunii semantice. Sinonimia, parafraza, perifraza, omonimia.</w:t>
            </w:r>
          </w:p>
        </w:tc>
        <w:tc>
          <w:tcPr>
            <w:tcW w:w="2288" w:type="dxa"/>
            <w:vMerge/>
            <w:shd w:val="clear" w:color="auto" w:fill="auto"/>
          </w:tcPr>
          <w:p w14:paraId="70C79422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338ADE47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7064F1FB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0EFBD199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</w:rPr>
              <w:t>Antonime, metafora, metonimia, elemente lexicale polisemantice, relaţia total-parţial, câmpul semantic, construcţii eliptice.</w:t>
            </w:r>
          </w:p>
        </w:tc>
        <w:tc>
          <w:tcPr>
            <w:tcW w:w="2288" w:type="dxa"/>
            <w:vMerge/>
            <w:shd w:val="clear" w:color="auto" w:fill="auto"/>
          </w:tcPr>
          <w:p w14:paraId="6DA482F7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5B413A43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17EE633E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6BA41B9F" w14:textId="77777777" w:rsidR="00282418" w:rsidRPr="00E51BF5" w:rsidRDefault="00282418" w:rsidP="00AD3DD6">
            <w:pPr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contextualSpacing/>
              <w:rPr>
                <w:i/>
                <w:szCs w:val="24"/>
                <w:lang w:val="ro-RO"/>
              </w:rPr>
            </w:pPr>
            <w:r>
              <w:rPr>
                <w:szCs w:val="24"/>
              </w:rPr>
              <w:t xml:space="preserve">Contextul – element-cheie în constituirea sensului textual. Continuitatea tematică în text. Planurile semantice. </w:t>
            </w:r>
            <w:r>
              <w:t>Context lingvistic – context extralingvistic.</w:t>
            </w:r>
          </w:p>
        </w:tc>
        <w:tc>
          <w:tcPr>
            <w:tcW w:w="2288" w:type="dxa"/>
            <w:vMerge/>
            <w:shd w:val="clear" w:color="auto" w:fill="auto"/>
          </w:tcPr>
          <w:p w14:paraId="11C4A344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3FB82EF6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5F7BE5E4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2F620D21" w14:textId="77777777" w:rsidR="00282418" w:rsidRPr="00E51BF5" w:rsidRDefault="00282418" w:rsidP="00AD3DD6">
            <w:pPr>
              <w:pStyle w:val="ListParagraph"/>
              <w:numPr>
                <w:ilvl w:val="0"/>
                <w:numId w:val="19"/>
              </w:numPr>
              <w:tabs>
                <w:tab w:val="left" w:pos="29"/>
                <w:tab w:val="left" w:pos="313"/>
              </w:tabs>
              <w:spacing w:after="0" w:line="240" w:lineRule="auto"/>
              <w:ind w:left="454" w:right="180" w:hanging="425"/>
              <w:jc w:val="both"/>
              <w:rPr>
                <w:i/>
                <w:szCs w:val="24"/>
                <w:lang w:val="ro-RO"/>
              </w:rPr>
            </w:pPr>
            <w:r>
              <w:rPr>
                <w:szCs w:val="24"/>
              </w:rPr>
              <w:t>Analiza structurală a textului. Relaţia seme-semnificaţie.</w:t>
            </w:r>
          </w:p>
        </w:tc>
        <w:tc>
          <w:tcPr>
            <w:tcW w:w="2288" w:type="dxa"/>
            <w:vMerge/>
            <w:shd w:val="clear" w:color="auto" w:fill="auto"/>
          </w:tcPr>
          <w:p w14:paraId="5F9E6907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5B301AAB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614BC7A5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2F2F3884" w14:textId="77777777" w:rsidR="00282418" w:rsidRPr="00961885" w:rsidRDefault="00282418" w:rsidP="00AD3DD6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rPr>
                <w:i/>
                <w:szCs w:val="24"/>
                <w:lang w:val="ro-RO"/>
              </w:rPr>
            </w:pPr>
            <w:r w:rsidRPr="00961885">
              <w:rPr>
                <w:szCs w:val="24"/>
              </w:rPr>
              <w:t xml:space="preserve">Stilistica textului. Stilurile funcţionale. </w:t>
            </w:r>
          </w:p>
        </w:tc>
        <w:tc>
          <w:tcPr>
            <w:tcW w:w="2288" w:type="dxa"/>
            <w:vMerge/>
            <w:shd w:val="clear" w:color="auto" w:fill="auto"/>
          </w:tcPr>
          <w:p w14:paraId="4197EDE1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7C8DA6FA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2DCBA4EB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3336E47A" w14:textId="77777777" w:rsidR="00282418" w:rsidRPr="00961885" w:rsidRDefault="00282418" w:rsidP="00AD3DD6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rPr>
                <w:i/>
                <w:szCs w:val="24"/>
                <w:lang w:val="ro-RO"/>
              </w:rPr>
            </w:pPr>
            <w:r w:rsidRPr="00961885">
              <w:rPr>
                <w:szCs w:val="24"/>
              </w:rPr>
              <w:t xml:space="preserve">Registrul în traduceri.  </w:t>
            </w:r>
            <w:r w:rsidRPr="00961885">
              <w:rPr>
                <w:szCs w:val="24"/>
                <w:lang w:val="hu-HU"/>
              </w:rPr>
              <w:t>Probleme structurale în redactarea textelor</w:t>
            </w:r>
          </w:p>
        </w:tc>
        <w:tc>
          <w:tcPr>
            <w:tcW w:w="2288" w:type="dxa"/>
            <w:vMerge/>
            <w:shd w:val="clear" w:color="auto" w:fill="auto"/>
          </w:tcPr>
          <w:p w14:paraId="5BE7E67F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6A828F98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282418" w:rsidRPr="00E51BF5" w14:paraId="30DD41B6" w14:textId="77777777" w:rsidTr="00422BA9">
        <w:trPr>
          <w:trHeight w:val="20"/>
        </w:trPr>
        <w:tc>
          <w:tcPr>
            <w:tcW w:w="6925" w:type="dxa"/>
            <w:shd w:val="clear" w:color="auto" w:fill="auto"/>
          </w:tcPr>
          <w:p w14:paraId="78829805" w14:textId="77777777" w:rsidR="00282418" w:rsidRPr="00961885" w:rsidRDefault="00282418" w:rsidP="00AD3DD6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29"/>
                <w:tab w:val="left" w:pos="313"/>
              </w:tabs>
              <w:suppressAutoHyphens/>
              <w:spacing w:after="0" w:line="240" w:lineRule="auto"/>
              <w:ind w:left="454" w:right="-20" w:hanging="425"/>
              <w:rPr>
                <w:i/>
                <w:szCs w:val="24"/>
                <w:lang w:val="ro-RO"/>
              </w:rPr>
            </w:pPr>
            <w:r w:rsidRPr="00961885">
              <w:rPr>
                <w:szCs w:val="24"/>
                <w:lang w:val="ro-RO"/>
              </w:rPr>
              <w:t>Sinteză şi concluzii.</w:t>
            </w:r>
          </w:p>
        </w:tc>
        <w:tc>
          <w:tcPr>
            <w:tcW w:w="2288" w:type="dxa"/>
            <w:vMerge/>
            <w:shd w:val="clear" w:color="auto" w:fill="auto"/>
          </w:tcPr>
          <w:p w14:paraId="450EF10D" w14:textId="77777777" w:rsidR="00282418" w:rsidRPr="00E51BF5" w:rsidRDefault="00282418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</w:p>
        </w:tc>
        <w:tc>
          <w:tcPr>
            <w:tcW w:w="1243" w:type="dxa"/>
            <w:shd w:val="clear" w:color="auto" w:fill="auto"/>
          </w:tcPr>
          <w:p w14:paraId="694255AA" w14:textId="77777777" w:rsidR="00282418" w:rsidRDefault="00282418" w:rsidP="00AD3DD6">
            <w:pPr>
              <w:spacing w:after="0" w:line="240" w:lineRule="auto"/>
              <w:contextualSpacing/>
              <w:jc w:val="center"/>
            </w:pPr>
            <w:r w:rsidRPr="006B12C8">
              <w:rPr>
                <w:szCs w:val="24"/>
                <w:lang w:val="ro-RO"/>
              </w:rPr>
              <w:t>2 ore</w:t>
            </w:r>
          </w:p>
        </w:tc>
      </w:tr>
      <w:tr w:rsidR="00850029" w:rsidRPr="00E51BF5" w14:paraId="2D34F9D4" w14:textId="77777777" w:rsidTr="00282418">
        <w:trPr>
          <w:trHeight w:val="20"/>
        </w:trPr>
        <w:tc>
          <w:tcPr>
            <w:tcW w:w="10456" w:type="dxa"/>
            <w:gridSpan w:val="3"/>
            <w:shd w:val="clear" w:color="auto" w:fill="auto"/>
          </w:tcPr>
          <w:p w14:paraId="332EAC9F" w14:textId="77777777" w:rsidR="00850029" w:rsidRPr="00E51BF5" w:rsidRDefault="0085002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Bibliografie</w:t>
            </w:r>
          </w:p>
          <w:p w14:paraId="20A130DF" w14:textId="77777777" w:rsidR="00952B85" w:rsidRPr="004F2339" w:rsidRDefault="00952B85" w:rsidP="00AD3DD6">
            <w:pPr>
              <w:spacing w:after="0" w:line="240" w:lineRule="auto"/>
              <w:ind w:left="142"/>
              <w:contextualSpacing/>
              <w:rPr>
                <w:szCs w:val="24"/>
                <w:u w:val="single"/>
                <w:lang w:val="ro-RO"/>
              </w:rPr>
            </w:pPr>
            <w:r w:rsidRPr="004F2339">
              <w:rPr>
                <w:szCs w:val="24"/>
                <w:u w:val="single"/>
                <w:lang w:val="ro-RO"/>
              </w:rPr>
              <w:t>Obligatorie</w:t>
            </w:r>
          </w:p>
          <w:p w14:paraId="62DC9E12" w14:textId="77777777" w:rsidR="00952B85" w:rsidRDefault="00282418" w:rsidP="00AD3DD6">
            <w:pPr>
              <w:widowControl w:val="0"/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 xml:space="preserve">A. </w:t>
            </w:r>
            <w:r w:rsidR="00952B85" w:rsidRPr="004F2339">
              <w:rPr>
                <w:szCs w:val="24"/>
                <w:lang w:val="ro-RO"/>
              </w:rPr>
              <w:t>Jászó A</w:t>
            </w:r>
            <w:r w:rsidR="00952B85">
              <w:rPr>
                <w:szCs w:val="24"/>
                <w:lang w:val="ro-RO"/>
              </w:rPr>
              <w:t>nna</w:t>
            </w:r>
            <w:r w:rsidR="00952B85" w:rsidRPr="004F2339">
              <w:rPr>
                <w:szCs w:val="24"/>
                <w:lang w:val="ro-RO"/>
              </w:rPr>
              <w:t xml:space="preserve"> 1997</w:t>
            </w:r>
            <w:r w:rsidR="00952B85">
              <w:rPr>
                <w:szCs w:val="24"/>
                <w:lang w:val="ro-RO"/>
              </w:rPr>
              <w:t>:</w:t>
            </w:r>
            <w:r w:rsidR="00952B85" w:rsidRPr="004F2339">
              <w:rPr>
                <w:szCs w:val="24"/>
                <w:lang w:val="ro-RO"/>
              </w:rPr>
              <w:t xml:space="preserve"> </w:t>
            </w:r>
            <w:r w:rsidR="00952B85" w:rsidRPr="004F2339">
              <w:rPr>
                <w:i/>
                <w:szCs w:val="24"/>
                <w:lang w:val="ro-RO"/>
              </w:rPr>
              <w:t>A magyar nyelv könyve.</w:t>
            </w:r>
            <w:r w:rsidR="00952B85" w:rsidRPr="004F2339">
              <w:rPr>
                <w:szCs w:val="24"/>
                <w:lang w:val="ro-RO"/>
              </w:rPr>
              <w:t xml:space="preserve"> Budapest: Trezor Kiadó.</w:t>
            </w:r>
          </w:p>
          <w:p w14:paraId="44A9082F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 w:rsidRPr="004A5F0E">
              <w:rPr>
                <w:szCs w:val="24"/>
                <w:lang w:val="hu-HU"/>
              </w:rPr>
              <w:t xml:space="preserve">Balázs János 1985: </w:t>
            </w:r>
            <w:r w:rsidRPr="00952B85">
              <w:rPr>
                <w:i/>
                <w:szCs w:val="24"/>
                <w:lang w:val="hu-HU"/>
              </w:rPr>
              <w:t>A szöveg</w:t>
            </w:r>
            <w:r w:rsidRPr="004A5F0E">
              <w:rPr>
                <w:szCs w:val="24"/>
                <w:lang w:val="hu-HU"/>
              </w:rPr>
              <w:t xml:space="preserve">. </w:t>
            </w:r>
            <w:r>
              <w:rPr>
                <w:szCs w:val="24"/>
                <w:lang w:val="hu-HU"/>
              </w:rPr>
              <w:t>Gondolat, Budapest.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23ABBF47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Szikszainé Nagy Irma 1999: </w:t>
            </w:r>
            <w:r w:rsidRPr="00650C23">
              <w:rPr>
                <w:i/>
                <w:szCs w:val="24"/>
                <w:lang w:val="hu-HU"/>
              </w:rPr>
              <w:t>Leíró magyar szövegtan</w:t>
            </w:r>
            <w:r w:rsidRPr="00352FE8">
              <w:rPr>
                <w:szCs w:val="24"/>
                <w:lang w:val="hu-HU"/>
              </w:rPr>
              <w:t>. Budapest</w:t>
            </w:r>
            <w:r>
              <w:rPr>
                <w:szCs w:val="24"/>
                <w:lang w:val="hu-HU"/>
              </w:rPr>
              <w:t>,</w:t>
            </w:r>
            <w:r w:rsidRPr="00352FE8">
              <w:rPr>
                <w:szCs w:val="24"/>
                <w:lang w:val="hu-HU"/>
              </w:rPr>
              <w:t xml:space="preserve"> Osiris Kiadó. </w:t>
            </w:r>
            <w:r w:rsidRPr="004F2339">
              <w:rPr>
                <w:bCs/>
                <w:szCs w:val="24"/>
                <w:lang w:val="ro-RO"/>
              </w:rPr>
              <w:t>*</w:t>
            </w:r>
          </w:p>
          <w:p w14:paraId="0ED5D638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Tolcsvai Nagy Gábor 2001: </w:t>
            </w:r>
            <w:r w:rsidRPr="00650C23">
              <w:rPr>
                <w:i/>
                <w:szCs w:val="24"/>
                <w:lang w:val="hu-HU"/>
              </w:rPr>
              <w:t>A magyar nyelv szövegtana</w:t>
            </w:r>
            <w:r w:rsidRPr="00352FE8">
              <w:rPr>
                <w:szCs w:val="24"/>
                <w:lang w:val="hu-HU"/>
              </w:rPr>
              <w:t>. Budapest</w:t>
            </w:r>
            <w:r>
              <w:rPr>
                <w:szCs w:val="24"/>
                <w:lang w:val="hu-HU"/>
              </w:rPr>
              <w:t>,</w:t>
            </w:r>
            <w:r w:rsidRPr="00352FE8">
              <w:rPr>
                <w:szCs w:val="24"/>
                <w:lang w:val="hu-HU"/>
              </w:rPr>
              <w:t xml:space="preserve"> Nemzeti Tankönyvkiadó</w:t>
            </w:r>
            <w:r>
              <w:rPr>
                <w:szCs w:val="24"/>
                <w:lang w:val="hu-HU"/>
              </w:rPr>
              <w:t>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3C87EA80" w14:textId="77777777" w:rsidR="00952B85" w:rsidRPr="00352FE8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Tolcsvai Nagy Gábor 1994: </w:t>
            </w:r>
            <w:r w:rsidRPr="005C37C9">
              <w:rPr>
                <w:i/>
                <w:szCs w:val="24"/>
                <w:lang w:val="hu-HU"/>
              </w:rPr>
              <w:t>A szövegek világa</w:t>
            </w:r>
            <w:r w:rsidRPr="00352FE8">
              <w:rPr>
                <w:szCs w:val="24"/>
                <w:lang w:val="hu-HU"/>
              </w:rPr>
              <w:t xml:space="preserve">. </w:t>
            </w:r>
            <w:r>
              <w:rPr>
                <w:szCs w:val="24"/>
                <w:lang w:val="hu-HU"/>
              </w:rPr>
              <w:t>Nemzeti Tankönyvkiadó, Budapest.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453C0744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u w:val="single"/>
                <w:lang w:val="ro-RO"/>
              </w:rPr>
            </w:pPr>
            <w:r w:rsidRPr="004F2339">
              <w:rPr>
                <w:szCs w:val="24"/>
                <w:u w:val="single"/>
                <w:lang w:val="ro-RO"/>
              </w:rPr>
              <w:t>Opţională</w:t>
            </w:r>
          </w:p>
          <w:p w14:paraId="2AEFA295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  </w:t>
            </w:r>
            <w:r w:rsidRPr="00352FE8">
              <w:rPr>
                <w:szCs w:val="24"/>
                <w:lang w:val="hu-HU"/>
              </w:rPr>
              <w:t xml:space="preserve">Balázs Géza 1994: </w:t>
            </w:r>
            <w:r w:rsidRPr="00260732">
              <w:rPr>
                <w:i/>
                <w:szCs w:val="24"/>
                <w:lang w:val="hu-HU"/>
              </w:rPr>
              <w:t>Szövegtani gyakorlatok, vázlatok és tanulmányok</w:t>
            </w:r>
            <w:r w:rsidRPr="00352FE8">
              <w:rPr>
                <w:szCs w:val="24"/>
                <w:lang w:val="hu-HU"/>
              </w:rPr>
              <w:t>.</w:t>
            </w:r>
          </w:p>
          <w:p w14:paraId="463CF0AA" w14:textId="77777777" w:rsidR="00952B85" w:rsidRPr="00352FE8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Békési Imre 1982: </w:t>
            </w:r>
            <w:r w:rsidRPr="00260732">
              <w:rPr>
                <w:i/>
                <w:szCs w:val="24"/>
                <w:lang w:val="hu-HU"/>
              </w:rPr>
              <w:t>Szövegszerkezeti alapvizsgálatok</w:t>
            </w:r>
            <w:r w:rsidRPr="00352FE8">
              <w:rPr>
                <w:szCs w:val="24"/>
                <w:lang w:val="hu-HU"/>
              </w:rPr>
              <w:t xml:space="preserve">. </w:t>
            </w:r>
            <w:r>
              <w:rPr>
                <w:szCs w:val="24"/>
                <w:lang w:val="hu-HU"/>
              </w:rPr>
              <w:t>Akadémiai Kiadó, Budapest.</w:t>
            </w:r>
          </w:p>
          <w:p w14:paraId="2AE98EFD" w14:textId="77777777" w:rsidR="00FC039F" w:rsidRDefault="00FC039F" w:rsidP="00AD3DD6">
            <w:pPr>
              <w:spacing w:after="0" w:line="240" w:lineRule="auto"/>
              <w:ind w:left="596" w:hanging="596"/>
              <w:contextualSpacing/>
            </w:pPr>
            <w:r>
              <w:t xml:space="preserve">Brown, Gillian, Yule George, 1983, Discourse Analysis, Cambridge University Press.  Brown, P., </w:t>
            </w:r>
          </w:p>
          <w:p w14:paraId="5D1F4298" w14:textId="77777777" w:rsidR="00FC039F" w:rsidRDefault="00FC039F" w:rsidP="00AD3DD6">
            <w:pPr>
              <w:spacing w:after="0" w:line="240" w:lineRule="auto"/>
              <w:ind w:left="596" w:hanging="596"/>
              <w:contextualSpacing/>
            </w:pPr>
            <w:r>
              <w:t xml:space="preserve">Grice, H.Paul, 1975, “Logic and Conversation”, in Syntax and Semantics, vol.3, ed. P.Cole, J.Morgan, New York: Academic Press, pp. 41-58. </w:t>
            </w:r>
          </w:p>
          <w:p w14:paraId="134AB463" w14:textId="77777777" w:rsidR="00FC039F" w:rsidRDefault="00FC039F" w:rsidP="00AD3DD6">
            <w:pPr>
              <w:spacing w:after="0" w:line="240" w:lineRule="auto"/>
              <w:ind w:left="596" w:hanging="596"/>
              <w:contextualSpacing/>
            </w:pPr>
            <w:r>
              <w:t>Lakoff, Robin, 1972, "Language in Context", in Language, vol.48, nr.4, p.907-927  Lakoff, Robin, 1973, "The logic of politeness; or mind your p's and q's., in CLS 10, Chicago Linguistic Society</w:t>
            </w:r>
          </w:p>
          <w:p w14:paraId="33F6F469" w14:textId="77777777" w:rsidR="00FC039F" w:rsidRDefault="00FC039F" w:rsidP="00AD3DD6">
            <w:pPr>
              <w:spacing w:after="0" w:line="240" w:lineRule="auto"/>
              <w:ind w:left="596" w:hanging="596"/>
              <w:contextualSpacing/>
            </w:pPr>
            <w:r>
              <w:t>Levinson, S. 1978, "Universals in language usage", in (ed.) E.N.Goody, Questions and Politeness: Strategies in Social Interaction, CambridgeUniversity Press, p. 56-289.</w:t>
            </w:r>
          </w:p>
          <w:p w14:paraId="240B2DB3" w14:textId="77777777" w:rsidR="00952B85" w:rsidRPr="004F2339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 w:rsidRPr="004F2339">
              <w:rPr>
                <w:szCs w:val="24"/>
                <w:lang w:val="ro-RO"/>
              </w:rPr>
              <w:t xml:space="preserve">Kiefer, F. (2000). </w:t>
            </w:r>
            <w:r w:rsidRPr="004F2339">
              <w:rPr>
                <w:i/>
                <w:szCs w:val="24"/>
                <w:lang w:val="ro-RO"/>
              </w:rPr>
              <w:t>Jelentéselmélet</w:t>
            </w:r>
            <w:r w:rsidRPr="004F2339">
              <w:rPr>
                <w:szCs w:val="24"/>
                <w:lang w:val="ro-RO"/>
              </w:rPr>
              <w:t>. Budapest: Corvina.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5BE4DF6D" w14:textId="77777777" w:rsidR="00952B85" w:rsidRPr="004F2339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 w:rsidRPr="004F2339">
              <w:rPr>
                <w:szCs w:val="24"/>
                <w:lang w:val="ro-RO"/>
              </w:rPr>
              <w:t xml:space="preserve">Lőrinc, J. (2011). </w:t>
            </w:r>
            <w:r w:rsidRPr="004F2339">
              <w:rPr>
                <w:i/>
                <w:szCs w:val="24"/>
                <w:lang w:val="ro-RO"/>
              </w:rPr>
              <w:t>Nyelvi jelentés és  variativitás. Szemantikai alapismeretek.</w:t>
            </w:r>
            <w:r w:rsidRPr="004F2339">
              <w:rPr>
                <w:szCs w:val="24"/>
                <w:lang w:val="ro-RO"/>
              </w:rPr>
              <w:t xml:space="preserve">  Komárom: Selye J</w:t>
            </w:r>
            <w:r w:rsidRPr="004F2339">
              <w:rPr>
                <w:szCs w:val="24"/>
                <w:lang w:val="hu-HU"/>
              </w:rPr>
              <w:t>á</w:t>
            </w:r>
            <w:r w:rsidRPr="004F2339">
              <w:rPr>
                <w:szCs w:val="24"/>
                <w:lang w:val="ro-RO"/>
              </w:rPr>
              <w:t>nos Egyetem.</w:t>
            </w:r>
          </w:p>
          <w:p w14:paraId="765C49A9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 w:rsidRPr="004F2339">
              <w:rPr>
                <w:szCs w:val="24"/>
                <w:lang w:val="ro-RO"/>
              </w:rPr>
              <w:t xml:space="preserve">Máthé, D. (2009). </w:t>
            </w:r>
            <w:r w:rsidRPr="00260732">
              <w:rPr>
                <w:i/>
                <w:szCs w:val="24"/>
                <w:lang w:val="ro-RO"/>
              </w:rPr>
              <w:t>Szemantikai alapviszonyok</w:t>
            </w:r>
            <w:r w:rsidRPr="004F2339">
              <w:rPr>
                <w:szCs w:val="24"/>
                <w:lang w:val="ro-RO"/>
              </w:rPr>
              <w:t>. Kolozsvár: Egyetemi Műhely Kiadó. B</w:t>
            </w:r>
            <w:r>
              <w:rPr>
                <w:szCs w:val="24"/>
                <w:lang w:val="ro-RO"/>
              </w:rPr>
              <w:t xml:space="preserve">olyai </w:t>
            </w:r>
            <w:r w:rsidRPr="004F2339">
              <w:rPr>
                <w:szCs w:val="24"/>
                <w:lang w:val="ro-RO"/>
              </w:rPr>
              <w:t>Társaság.</w:t>
            </w:r>
          </w:p>
          <w:p w14:paraId="4D82DC45" w14:textId="77777777" w:rsidR="00952B85" w:rsidRPr="00352FE8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 xml:space="preserve">Murvai Olga – Balázs Géza 2002: </w:t>
            </w:r>
            <w:r w:rsidRPr="00260732">
              <w:rPr>
                <w:i/>
                <w:szCs w:val="24"/>
                <w:lang w:val="hu-HU"/>
              </w:rPr>
              <w:t>A szövegek szövésmintái</w:t>
            </w:r>
            <w:r w:rsidRPr="00352FE8">
              <w:rPr>
                <w:szCs w:val="24"/>
                <w:lang w:val="hu-HU"/>
              </w:rPr>
              <w:t>. Stúdium Kiadó, Kolozsvár.</w:t>
            </w:r>
          </w:p>
          <w:p w14:paraId="304910EB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 w:rsidRPr="00C3476B">
              <w:rPr>
                <w:szCs w:val="24"/>
                <w:lang w:val="ro-RO"/>
              </w:rPr>
              <w:t>Murvai Olga 1997: Absztrakt entitások szükségessége a szöveg szemantikai elemzésében. In:vol.:</w:t>
            </w:r>
            <w:r w:rsidRPr="00C3476B">
              <w:rPr>
                <w:i/>
                <w:szCs w:val="24"/>
                <w:lang w:val="ro-RO"/>
              </w:rPr>
              <w:t>Szöveg és stílus</w:t>
            </w:r>
            <w:r w:rsidRPr="00C3476B">
              <w:rPr>
                <w:szCs w:val="24"/>
                <w:lang w:val="ro-RO"/>
              </w:rPr>
              <w:t xml:space="preserve">. Editura Univ. „Babeş-Bolyai” Cluj. 303-309. </w:t>
            </w:r>
            <w:r w:rsidRPr="004F2339">
              <w:rPr>
                <w:bCs/>
                <w:szCs w:val="24"/>
                <w:lang w:val="ro-RO"/>
              </w:rPr>
              <w:t>*</w:t>
            </w:r>
          </w:p>
          <w:p w14:paraId="7E1AD6A4" w14:textId="77777777" w:rsidR="00952B85" w:rsidRPr="00352FE8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260732">
              <w:rPr>
                <w:i/>
                <w:szCs w:val="24"/>
                <w:lang w:val="hu-HU"/>
              </w:rPr>
              <w:lastRenderedPageBreak/>
              <w:t>Officina Textologica</w:t>
            </w:r>
            <w:r w:rsidRPr="00352FE8">
              <w:rPr>
                <w:szCs w:val="24"/>
                <w:lang w:val="hu-HU"/>
              </w:rPr>
              <w:t xml:space="preserve"> 1–7. kötet. Szerk.: Petőfi S. János. 1997-től folyamatosan.</w:t>
            </w:r>
          </w:p>
          <w:p w14:paraId="66A95886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352FE8">
              <w:rPr>
                <w:szCs w:val="24"/>
                <w:lang w:val="hu-HU"/>
              </w:rPr>
              <w:t>Petőfi S. János – Benkes Zsuzsa 2002</w:t>
            </w:r>
            <w:r>
              <w:rPr>
                <w:szCs w:val="24"/>
                <w:lang w:val="hu-HU"/>
              </w:rPr>
              <w:t>:</w:t>
            </w:r>
            <w:r w:rsidRPr="00352FE8">
              <w:rPr>
                <w:szCs w:val="24"/>
                <w:lang w:val="hu-HU"/>
              </w:rPr>
              <w:t xml:space="preserve"> </w:t>
            </w:r>
            <w:r w:rsidRPr="00260732">
              <w:rPr>
                <w:i/>
                <w:szCs w:val="24"/>
                <w:lang w:val="hu-HU"/>
              </w:rPr>
              <w:t>Multimediális szövegek megközelítései</w:t>
            </w:r>
            <w:r w:rsidRPr="00352FE8">
              <w:rPr>
                <w:szCs w:val="24"/>
                <w:lang w:val="hu-HU"/>
              </w:rPr>
              <w:t>. Iskolakultúra, Pécs</w:t>
            </w:r>
            <w:r>
              <w:rPr>
                <w:szCs w:val="24"/>
                <w:lang w:val="hu-HU"/>
              </w:rPr>
              <w:t xml:space="preserve">. </w:t>
            </w:r>
            <w:r w:rsidRPr="004F2339">
              <w:rPr>
                <w:bCs/>
                <w:szCs w:val="24"/>
                <w:lang w:val="ro-RO"/>
              </w:rPr>
              <w:t>*</w:t>
            </w:r>
          </w:p>
          <w:p w14:paraId="09B5EBC4" w14:textId="77777777" w:rsidR="00952B85" w:rsidRPr="002849B9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 xml:space="preserve">Petőfi S. János 2004: </w:t>
            </w:r>
            <w:r w:rsidRPr="00260732">
              <w:rPr>
                <w:i/>
                <w:szCs w:val="24"/>
                <w:lang w:val="hu-HU"/>
              </w:rPr>
              <w:t>A szöveg mint komplex jel. Bevezetés a szemiotikai-textológiai szövegszemléletbe.</w:t>
            </w:r>
            <w:r>
              <w:rPr>
                <w:szCs w:val="24"/>
                <w:lang w:val="hu-HU"/>
              </w:rPr>
              <w:t xml:space="preserve"> Akadémiai Kiadó, Budapest.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232284F0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bCs/>
                <w:szCs w:val="24"/>
                <w:lang w:val="ro-RO"/>
              </w:rPr>
            </w:pPr>
            <w:r w:rsidRPr="004A5F0E">
              <w:rPr>
                <w:szCs w:val="24"/>
                <w:lang w:val="hu-HU"/>
              </w:rPr>
              <w:t xml:space="preserve">Rácz Endre 1992: </w:t>
            </w:r>
            <w:r w:rsidRPr="00260732">
              <w:rPr>
                <w:i/>
                <w:szCs w:val="24"/>
                <w:lang w:val="hu-HU"/>
              </w:rPr>
              <w:t>Mondatgrammatika és szöveggrammatika</w:t>
            </w:r>
            <w:r w:rsidRPr="004A5F0E">
              <w:rPr>
                <w:szCs w:val="24"/>
                <w:lang w:val="hu-HU"/>
              </w:rPr>
              <w:t>. Magyar Tudományos Akadémia Nyelvtudományi Intézete, Budapest.</w:t>
            </w:r>
            <w:r w:rsidRPr="004F2339">
              <w:rPr>
                <w:bCs/>
                <w:szCs w:val="24"/>
                <w:lang w:val="ro-RO"/>
              </w:rPr>
              <w:t xml:space="preserve"> *</w:t>
            </w:r>
          </w:p>
          <w:p w14:paraId="7E52B0A4" w14:textId="77777777" w:rsidR="00FC039F" w:rsidRPr="004A5F0E" w:rsidRDefault="00FC039F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>
              <w:t>Searle, John, 1975, "Indirect speech acts" in (eds.) P.Cole,and J.L.Morgan, Syntax and Semantics 3: Speech Acts,New York: Academic Press.  Searle, John, 1969, Speech Acts: An Essay in the Philosophy of Language, Cambridge, England: Cambridge University Press.</w:t>
            </w:r>
          </w:p>
          <w:p w14:paraId="454F9264" w14:textId="77777777" w:rsidR="00952B85" w:rsidRDefault="00952B85" w:rsidP="00AD3DD6">
            <w:pPr>
              <w:spacing w:after="0" w:line="240" w:lineRule="auto"/>
              <w:ind w:left="596" w:hanging="596"/>
              <w:contextualSpacing/>
              <w:rPr>
                <w:szCs w:val="24"/>
                <w:lang w:val="hu-HU"/>
              </w:rPr>
            </w:pPr>
            <w:r w:rsidRPr="00260732">
              <w:rPr>
                <w:i/>
                <w:szCs w:val="24"/>
                <w:lang w:val="hu-HU"/>
              </w:rPr>
              <w:t>Szemiotikai szövegtan</w:t>
            </w:r>
            <w:r w:rsidRPr="00352FE8">
              <w:rPr>
                <w:szCs w:val="24"/>
                <w:lang w:val="hu-HU"/>
              </w:rPr>
              <w:t xml:space="preserve"> 1–13. kötet. Szerk.: Petőfi S. János, Békési Imre et al. 1990-től folyamatosan.</w:t>
            </w:r>
          </w:p>
          <w:p w14:paraId="2F6E1554" w14:textId="41A70509" w:rsidR="00850029" w:rsidRPr="00E51BF5" w:rsidRDefault="00FC039F" w:rsidP="00422BA9">
            <w:pPr>
              <w:spacing w:after="0" w:line="240" w:lineRule="auto"/>
              <w:ind w:left="596" w:hanging="596"/>
              <w:contextualSpacing/>
              <w:rPr>
                <w:szCs w:val="24"/>
                <w:lang w:val="ro-RO"/>
              </w:rPr>
            </w:pPr>
            <w:r>
              <w:t>Van Dijk, Teun A.,1980, Macrostructures: An Interdisciplinary Study of Global Structures in Discourse, Interaction, and Cognition, Hillsdale, N.J.: Lawrence Erlbaum Associates.</w:t>
            </w:r>
          </w:p>
        </w:tc>
      </w:tr>
    </w:tbl>
    <w:p w14:paraId="64610A56" w14:textId="77777777" w:rsidR="00744DDD" w:rsidRPr="00E51BF5" w:rsidRDefault="00744DDD" w:rsidP="00AD3DD6">
      <w:pPr>
        <w:spacing w:after="0" w:line="240" w:lineRule="auto"/>
        <w:contextualSpacing/>
        <w:rPr>
          <w:b/>
          <w:szCs w:val="24"/>
          <w:lang w:val="ro-RO"/>
        </w:rPr>
      </w:pPr>
    </w:p>
    <w:p w14:paraId="79D67AA7" w14:textId="77777777" w:rsidR="008027E9" w:rsidRDefault="008027E9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9. Coroborarea con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inuturilor disciplinei cu a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teptările reprezentan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ilor comunită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epistemice, asocia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 xml:space="preserve">iilor profesionale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angajatori reprezentativi din domeniul aferent programului</w:t>
      </w:r>
    </w:p>
    <w:p w14:paraId="342C4AB6" w14:textId="77777777" w:rsidR="00E51BF5" w:rsidRPr="00E51BF5" w:rsidRDefault="00E51BF5" w:rsidP="00AD3DD6">
      <w:pPr>
        <w:spacing w:after="0" w:line="240" w:lineRule="auto"/>
        <w:contextualSpacing/>
        <w:rPr>
          <w:b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8027E9" w:rsidRPr="00E51BF5" w14:paraId="49AD895F" w14:textId="77777777" w:rsidTr="00E51BF5">
        <w:tc>
          <w:tcPr>
            <w:tcW w:w="10682" w:type="dxa"/>
          </w:tcPr>
          <w:p w14:paraId="223AED47" w14:textId="77777777" w:rsidR="006F1AC4" w:rsidRPr="00E51BF5" w:rsidRDefault="00850029" w:rsidP="00AD3DD6">
            <w:pPr>
              <w:spacing w:after="0" w:line="240" w:lineRule="auto"/>
              <w:contextualSpacing/>
              <w:jc w:val="both"/>
              <w:rPr>
                <w:szCs w:val="24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 xml:space="preserve">Conținutul disciplinei este în concordanță cu ceea ce se predă în alte centre universitare din țară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din străinătate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cu misiunea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 xml:space="preserve">i obiectivele specializării, fiind astfel conceput, încât să asigure o pregătire sistematică a studenților 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i, în acela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i timp, să fie evitate suprapunerile în ceea ce prive</w:t>
            </w:r>
            <w:r w:rsidR="00ED4EFF" w:rsidRPr="00E51BF5">
              <w:rPr>
                <w:rFonts w:eastAsia="Times New Roman"/>
                <w:lang w:val="ro-RO"/>
              </w:rPr>
              <w:t>ș</w:t>
            </w:r>
            <w:r w:rsidRPr="00E51BF5">
              <w:rPr>
                <w:rFonts w:eastAsia="Times New Roman"/>
                <w:lang w:val="ro-RO"/>
              </w:rPr>
              <w:t>te conținutul tematic al disciplinelor.</w:t>
            </w:r>
          </w:p>
        </w:tc>
      </w:tr>
    </w:tbl>
    <w:p w14:paraId="217BCD6B" w14:textId="77777777" w:rsidR="00D00FBE" w:rsidRPr="00E51BF5" w:rsidRDefault="00D00FBE" w:rsidP="00AD3DD6">
      <w:pPr>
        <w:spacing w:after="0" w:line="240" w:lineRule="auto"/>
        <w:contextualSpacing/>
        <w:rPr>
          <w:b/>
          <w:szCs w:val="24"/>
          <w:lang w:val="ro-RO"/>
        </w:rPr>
      </w:pPr>
    </w:p>
    <w:p w14:paraId="2584356C" w14:textId="77777777" w:rsidR="008027E9" w:rsidRDefault="008027E9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10. Evaluare</w:t>
      </w:r>
    </w:p>
    <w:p w14:paraId="5C0248E0" w14:textId="34368AF4" w:rsidR="001C6FB6" w:rsidRPr="00E51BF5" w:rsidRDefault="001C6FB6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>A.</w:t>
      </w:r>
      <w:r w:rsidR="00AD3DD6">
        <w:rPr>
          <w:b/>
          <w:szCs w:val="24"/>
          <w:lang w:val="ro-RO"/>
        </w:rPr>
        <w:t xml:space="preserve"> </w:t>
      </w:r>
      <w:r w:rsidRPr="00E51BF5">
        <w:rPr>
          <w:b/>
          <w:szCs w:val="24"/>
          <w:lang w:val="ro-RO"/>
        </w:rPr>
        <w:t>Condi</w:t>
      </w:r>
      <w:r w:rsidR="00850029" w:rsidRPr="00E51BF5">
        <w:rPr>
          <w:b/>
          <w:szCs w:val="24"/>
          <w:lang w:val="ro-RO"/>
        </w:rPr>
        <w:t>ț</w:t>
      </w:r>
      <w:r w:rsidRPr="00E51BF5">
        <w:rPr>
          <w:b/>
          <w:szCs w:val="24"/>
          <w:lang w:val="ro-RO"/>
        </w:rPr>
        <w:t>ii de îndeplinit pentru prezentarea la evaluare</w:t>
      </w:r>
    </w:p>
    <w:p w14:paraId="5EB28EA4" w14:textId="77777777" w:rsidR="00FE1011" w:rsidRDefault="00E51BF5" w:rsidP="00AD3DD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participare activă la activitățile individuale și de grup în cadrul orelor, efectuarea temelor;</w:t>
      </w:r>
    </w:p>
    <w:p w14:paraId="03171E8C" w14:textId="77777777" w:rsidR="00E51BF5" w:rsidRPr="00FE1011" w:rsidRDefault="00E51BF5" w:rsidP="00AD3DD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FE1011">
        <w:rPr>
          <w:lang w:val="ro-RO"/>
        </w:rPr>
        <w:t>se permite un maxim de absențe stabilite în Regulamentul de studii; orele absente pot fi recuperate pe parcursul semestrului sau în săptămâna premergătoare sesiunii de examene);</w:t>
      </w:r>
    </w:p>
    <w:p w14:paraId="28FB82BB" w14:textId="77777777" w:rsidR="00E51BF5" w:rsidRPr="00E51BF5" w:rsidRDefault="00E51BF5" w:rsidP="00AD3DD6">
      <w:pPr>
        <w:pStyle w:val="ListParagraph"/>
        <w:numPr>
          <w:ilvl w:val="0"/>
          <w:numId w:val="24"/>
        </w:numPr>
        <w:snapToGrid w:val="0"/>
        <w:spacing w:after="0" w:line="240" w:lineRule="auto"/>
        <w:ind w:left="426" w:firstLine="0"/>
        <w:jc w:val="both"/>
        <w:rPr>
          <w:lang w:val="ro-RO"/>
        </w:rPr>
      </w:pPr>
      <w:r w:rsidRPr="00E51BF5">
        <w:rPr>
          <w:lang w:val="ro-RO"/>
        </w:rPr>
        <w:t>dobândirea a cel puțin 50% din punctajul total;</w:t>
      </w:r>
    </w:p>
    <w:p w14:paraId="5F666518" w14:textId="77777777" w:rsidR="001C6FB6" w:rsidRPr="00E51BF5" w:rsidRDefault="001C6FB6" w:rsidP="00AD3DD6">
      <w:pPr>
        <w:spacing w:after="0" w:line="240" w:lineRule="auto"/>
        <w:contextualSpacing/>
        <w:rPr>
          <w:b/>
          <w:szCs w:val="24"/>
          <w:lang w:val="ro-RO"/>
        </w:rPr>
      </w:pPr>
      <w:r w:rsidRPr="00E51BF5">
        <w:rPr>
          <w:b/>
          <w:szCs w:val="24"/>
          <w:lang w:val="ro-RO"/>
        </w:rPr>
        <w:t xml:space="preserve">B. Criterii, metode </w:t>
      </w:r>
      <w:r w:rsidR="00ED4EFF" w:rsidRPr="00E51BF5">
        <w:rPr>
          <w:b/>
          <w:szCs w:val="24"/>
          <w:lang w:val="ro-RO"/>
        </w:rPr>
        <w:t>ș</w:t>
      </w:r>
      <w:r w:rsidRPr="00E51BF5">
        <w:rPr>
          <w:b/>
          <w:szCs w:val="24"/>
          <w:lang w:val="ro-RO"/>
        </w:rPr>
        <w:t>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618"/>
        <w:gridCol w:w="3789"/>
        <w:gridCol w:w="2694"/>
        <w:gridCol w:w="1638"/>
      </w:tblGrid>
      <w:tr w:rsidR="008027E9" w:rsidRPr="00E51BF5" w14:paraId="23DECBB4" w14:textId="77777777" w:rsidTr="009B3CFF">
        <w:tc>
          <w:tcPr>
            <w:tcW w:w="2335" w:type="dxa"/>
            <w:gridSpan w:val="2"/>
          </w:tcPr>
          <w:p w14:paraId="764129EC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Tip activitate</w:t>
            </w:r>
          </w:p>
        </w:tc>
        <w:tc>
          <w:tcPr>
            <w:tcW w:w="3789" w:type="dxa"/>
            <w:shd w:val="clear" w:color="auto" w:fill="auto"/>
          </w:tcPr>
          <w:p w14:paraId="3CF24BA1" w14:textId="77777777" w:rsidR="008027E9" w:rsidRPr="00E51BF5" w:rsidRDefault="008027E9" w:rsidP="00AD3DD6">
            <w:pPr>
              <w:spacing w:after="0" w:line="240" w:lineRule="auto"/>
              <w:ind w:left="46" w:right="-154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10.1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Criterii de evaluare</w:t>
            </w:r>
          </w:p>
        </w:tc>
        <w:tc>
          <w:tcPr>
            <w:tcW w:w="2694" w:type="dxa"/>
          </w:tcPr>
          <w:p w14:paraId="364C33EF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10.2</w:t>
            </w:r>
            <w:r w:rsidR="00E3215E" w:rsidRPr="00E51BF5">
              <w:rPr>
                <w:szCs w:val="24"/>
                <w:lang w:val="ro-RO"/>
              </w:rPr>
              <w:t>.</w:t>
            </w:r>
            <w:r w:rsidR="00AB4356" w:rsidRPr="00E51BF5">
              <w:rPr>
                <w:szCs w:val="24"/>
                <w:lang w:val="ro-RO"/>
              </w:rPr>
              <w:t>M</w:t>
            </w:r>
            <w:r w:rsidRPr="00E51BF5">
              <w:rPr>
                <w:szCs w:val="24"/>
                <w:lang w:val="ro-RO"/>
              </w:rPr>
              <w:t>etode de evaluare</w:t>
            </w:r>
          </w:p>
        </w:tc>
        <w:tc>
          <w:tcPr>
            <w:tcW w:w="1638" w:type="dxa"/>
          </w:tcPr>
          <w:p w14:paraId="24712680" w14:textId="77777777" w:rsidR="008027E9" w:rsidRPr="00E51BF5" w:rsidRDefault="008027E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10.3</w:t>
            </w:r>
            <w:r w:rsidR="00E3215E" w:rsidRPr="00E51BF5">
              <w:rPr>
                <w:szCs w:val="24"/>
                <w:lang w:val="ro-RO"/>
              </w:rPr>
              <w:t>.</w:t>
            </w:r>
            <w:r w:rsidRPr="00E51BF5">
              <w:rPr>
                <w:szCs w:val="24"/>
                <w:lang w:val="ro-RO"/>
              </w:rPr>
              <w:t xml:space="preserve"> Pondere din nota finală</w:t>
            </w:r>
          </w:p>
        </w:tc>
      </w:tr>
      <w:tr w:rsidR="00850029" w:rsidRPr="00E51BF5" w14:paraId="557EEA93" w14:textId="77777777" w:rsidTr="009B3CFF">
        <w:trPr>
          <w:trHeight w:val="135"/>
        </w:trPr>
        <w:tc>
          <w:tcPr>
            <w:tcW w:w="2335" w:type="dxa"/>
            <w:gridSpan w:val="2"/>
          </w:tcPr>
          <w:p w14:paraId="35396BA4" w14:textId="77777777" w:rsidR="00850029" w:rsidRPr="00E51BF5" w:rsidRDefault="00850029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10.4. Curs</w:t>
            </w:r>
          </w:p>
        </w:tc>
        <w:tc>
          <w:tcPr>
            <w:tcW w:w="3789" w:type="dxa"/>
            <w:shd w:val="clear" w:color="auto" w:fill="auto"/>
          </w:tcPr>
          <w:p w14:paraId="76E355B5" w14:textId="77777777" w:rsidR="00850029" w:rsidRPr="00E51BF5" w:rsidRDefault="009B3CFF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cunoștințe teoretice și aplicarea acestora</w:t>
            </w:r>
          </w:p>
        </w:tc>
        <w:tc>
          <w:tcPr>
            <w:tcW w:w="2694" w:type="dxa"/>
          </w:tcPr>
          <w:p w14:paraId="0A5BE683" w14:textId="77777777" w:rsidR="00850029" w:rsidRPr="00E51BF5" w:rsidRDefault="009B3CFF" w:rsidP="00AD3DD6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  <w:r>
              <w:rPr>
                <w:rFonts w:eastAsia="Times New Roman"/>
                <w:lang w:val="ro-RO"/>
              </w:rPr>
              <w:t>e</w:t>
            </w:r>
            <w:r w:rsidR="00850029" w:rsidRPr="00E51BF5">
              <w:rPr>
                <w:rFonts w:eastAsia="Times New Roman"/>
                <w:lang w:val="ro-RO"/>
              </w:rPr>
              <w:t>xamen scris</w:t>
            </w:r>
          </w:p>
        </w:tc>
        <w:tc>
          <w:tcPr>
            <w:tcW w:w="1638" w:type="dxa"/>
          </w:tcPr>
          <w:p w14:paraId="02A6D67B" w14:textId="77777777" w:rsidR="00850029" w:rsidRPr="00E51BF5" w:rsidRDefault="00084B99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</w:t>
            </w:r>
            <w:r w:rsidR="000268B9" w:rsidRPr="00E51BF5">
              <w:rPr>
                <w:szCs w:val="24"/>
                <w:lang w:val="ro-RO"/>
              </w:rPr>
              <w:t>0%</w:t>
            </w:r>
          </w:p>
        </w:tc>
      </w:tr>
      <w:tr w:rsidR="009B3CFF" w:rsidRPr="00E51BF5" w14:paraId="786AFF8B" w14:textId="77777777" w:rsidTr="009B3CFF">
        <w:trPr>
          <w:trHeight w:val="135"/>
        </w:trPr>
        <w:tc>
          <w:tcPr>
            <w:tcW w:w="717" w:type="dxa"/>
          </w:tcPr>
          <w:p w14:paraId="00F9E499" w14:textId="77777777" w:rsidR="009B3CFF" w:rsidRPr="00E51BF5" w:rsidRDefault="009B3CFF" w:rsidP="00AD3DD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10.5.</w:t>
            </w:r>
          </w:p>
          <w:p w14:paraId="0DC367E0" w14:textId="77777777" w:rsidR="009B3CFF" w:rsidRPr="00E51BF5" w:rsidRDefault="009B3CFF" w:rsidP="00AD3DD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</w:p>
        </w:tc>
        <w:tc>
          <w:tcPr>
            <w:tcW w:w="1618" w:type="dxa"/>
          </w:tcPr>
          <w:p w14:paraId="1C74A8E3" w14:textId="77777777" w:rsidR="009B3CFF" w:rsidRPr="00E51BF5" w:rsidRDefault="009B3CFF" w:rsidP="00AD3DD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Seminar</w:t>
            </w:r>
          </w:p>
        </w:tc>
        <w:tc>
          <w:tcPr>
            <w:tcW w:w="3789" w:type="dxa"/>
            <w:shd w:val="clear" w:color="auto" w:fill="auto"/>
          </w:tcPr>
          <w:p w14:paraId="427FC765" w14:textId="77777777" w:rsidR="009B3CFF" w:rsidRPr="009B3CFF" w:rsidRDefault="009B3CFF" w:rsidP="00AD3DD6">
            <w:pPr>
              <w:spacing w:after="0" w:line="240" w:lineRule="auto"/>
              <w:ind w:right="-20"/>
              <w:contextualSpacing/>
              <w:rPr>
                <w:lang w:val="ro-RO"/>
              </w:rPr>
            </w:pPr>
          </w:p>
        </w:tc>
        <w:tc>
          <w:tcPr>
            <w:tcW w:w="2694" w:type="dxa"/>
          </w:tcPr>
          <w:p w14:paraId="3B11555B" w14:textId="77777777" w:rsidR="009B3CFF" w:rsidRPr="00E51BF5" w:rsidRDefault="009B3CFF" w:rsidP="00AD3DD6">
            <w:pPr>
              <w:spacing w:after="0" w:line="240" w:lineRule="auto"/>
              <w:ind w:right="-20"/>
              <w:contextualSpacing/>
              <w:jc w:val="center"/>
              <w:rPr>
                <w:lang w:val="ro-RO"/>
              </w:rPr>
            </w:pPr>
          </w:p>
        </w:tc>
        <w:tc>
          <w:tcPr>
            <w:tcW w:w="1638" w:type="dxa"/>
          </w:tcPr>
          <w:p w14:paraId="2304562F" w14:textId="77777777" w:rsidR="009B3CFF" w:rsidRPr="00E51BF5" w:rsidRDefault="009B3CFF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</w:p>
        </w:tc>
      </w:tr>
      <w:tr w:rsidR="009B3CFF" w:rsidRPr="00E51BF5" w14:paraId="3538F6EF" w14:textId="77777777" w:rsidTr="009B3CFF">
        <w:trPr>
          <w:trHeight w:val="245"/>
        </w:trPr>
        <w:tc>
          <w:tcPr>
            <w:tcW w:w="717" w:type="dxa"/>
          </w:tcPr>
          <w:p w14:paraId="3BDA79B9" w14:textId="77777777" w:rsidR="009B3CFF" w:rsidRPr="009B3CFF" w:rsidRDefault="009B3CFF" w:rsidP="00AD3DD6">
            <w:pPr>
              <w:spacing w:after="0" w:line="240" w:lineRule="auto"/>
              <w:ind w:right="-150"/>
              <w:contextualSpacing/>
              <w:rPr>
                <w:szCs w:val="24"/>
              </w:rPr>
            </w:pPr>
            <w:r>
              <w:rPr>
                <w:szCs w:val="24"/>
                <w:lang w:val="ro-RO"/>
              </w:rPr>
              <w:t>10.5</w:t>
            </w:r>
            <w:r>
              <w:rPr>
                <w:szCs w:val="24"/>
              </w:rPr>
              <w:t>’</w:t>
            </w:r>
          </w:p>
        </w:tc>
        <w:tc>
          <w:tcPr>
            <w:tcW w:w="1618" w:type="dxa"/>
          </w:tcPr>
          <w:p w14:paraId="477C7C5B" w14:textId="77777777" w:rsidR="009B3CFF" w:rsidRPr="00E51BF5" w:rsidRDefault="009B3CFF" w:rsidP="00AD3DD6">
            <w:pPr>
              <w:spacing w:after="0" w:line="240" w:lineRule="auto"/>
              <w:ind w:right="-150"/>
              <w:contextualSpacing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Prezența la ore</w:t>
            </w:r>
          </w:p>
        </w:tc>
        <w:tc>
          <w:tcPr>
            <w:tcW w:w="3789" w:type="dxa"/>
            <w:shd w:val="clear" w:color="auto" w:fill="auto"/>
            <w:vAlign w:val="center"/>
          </w:tcPr>
          <w:p w14:paraId="0DBB9A36" w14:textId="77777777" w:rsidR="009B3CFF" w:rsidRPr="005F57EA" w:rsidRDefault="009B3CFF" w:rsidP="00AD3DD6">
            <w:pPr>
              <w:spacing w:after="0" w:line="240" w:lineRule="auto"/>
              <w:contextualSpacing/>
              <w:rPr>
                <w:lang w:val="ro-RO"/>
              </w:rPr>
            </w:pPr>
            <w:r w:rsidRPr="005F57EA">
              <w:rPr>
                <w:rFonts w:eastAsia="Times New Roman"/>
                <w:color w:val="000000"/>
                <w:lang w:val="ro-RO"/>
              </w:rPr>
              <w:t>participare activă la ore</w:t>
            </w:r>
          </w:p>
        </w:tc>
        <w:tc>
          <w:tcPr>
            <w:tcW w:w="2694" w:type="dxa"/>
            <w:vAlign w:val="center"/>
          </w:tcPr>
          <w:p w14:paraId="7117B359" w14:textId="77777777" w:rsidR="009B3CFF" w:rsidRPr="005F57EA" w:rsidRDefault="009B3CFF" w:rsidP="00AD3DD6">
            <w:pPr>
              <w:spacing w:after="0" w:line="240" w:lineRule="auto"/>
              <w:contextualSpacing/>
              <w:jc w:val="center"/>
              <w:rPr>
                <w:lang w:val="ro-RO"/>
              </w:rPr>
            </w:pPr>
            <w:r w:rsidRPr="005F57EA">
              <w:rPr>
                <w:bCs/>
                <w:iCs/>
                <w:lang w:val="ro-RO"/>
              </w:rPr>
              <w:t>eviden</w:t>
            </w:r>
            <w:r>
              <w:rPr>
                <w:bCs/>
                <w:iCs/>
                <w:lang w:val="ro-RO"/>
              </w:rPr>
              <w:t>ț</w:t>
            </w:r>
            <w:r w:rsidRPr="005F57EA">
              <w:rPr>
                <w:bCs/>
                <w:iCs/>
                <w:lang w:val="ro-RO"/>
              </w:rPr>
              <w:t>ă săptămânală</w:t>
            </w:r>
          </w:p>
        </w:tc>
        <w:tc>
          <w:tcPr>
            <w:tcW w:w="1638" w:type="dxa"/>
          </w:tcPr>
          <w:p w14:paraId="35486434" w14:textId="77777777" w:rsidR="009B3CFF" w:rsidRPr="00E51BF5" w:rsidRDefault="009B3CFF" w:rsidP="00AD3DD6">
            <w:pPr>
              <w:spacing w:after="0" w:line="240" w:lineRule="auto"/>
              <w:contextualSpacing/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10%</w:t>
            </w:r>
          </w:p>
        </w:tc>
      </w:tr>
      <w:tr w:rsidR="00E51BF5" w:rsidRPr="00E51BF5" w14:paraId="131CF953" w14:textId="77777777" w:rsidTr="00E51BF5">
        <w:tc>
          <w:tcPr>
            <w:tcW w:w="10456" w:type="dxa"/>
            <w:gridSpan w:val="5"/>
          </w:tcPr>
          <w:p w14:paraId="6565F2B5" w14:textId="77777777" w:rsidR="00E51BF5" w:rsidRPr="00E51BF5" w:rsidRDefault="00E51BF5" w:rsidP="00AD3DD6">
            <w:pPr>
              <w:spacing w:after="0" w:line="240" w:lineRule="auto"/>
              <w:contextualSpacing/>
              <w:rPr>
                <w:szCs w:val="24"/>
                <w:lang w:val="ro-RO"/>
              </w:rPr>
            </w:pPr>
            <w:r w:rsidRPr="00E51BF5">
              <w:rPr>
                <w:szCs w:val="24"/>
                <w:lang w:val="ro-RO"/>
              </w:rPr>
              <w:t>10.6. Standard minim de performanță</w:t>
            </w:r>
          </w:p>
        </w:tc>
      </w:tr>
      <w:tr w:rsidR="00E51BF5" w:rsidRPr="00E51BF5" w14:paraId="5BB03ECD" w14:textId="77777777" w:rsidTr="00E51BF5">
        <w:tc>
          <w:tcPr>
            <w:tcW w:w="10456" w:type="dxa"/>
            <w:gridSpan w:val="5"/>
          </w:tcPr>
          <w:p w14:paraId="5995AA63" w14:textId="77777777" w:rsidR="00E51BF5" w:rsidRPr="00E51BF5" w:rsidRDefault="00E51BF5" w:rsidP="00AD3D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Aplicarea adecvată a tehnicilor de traducere și mediere scrisă și orală din limba B în limba A și invers, în domenii de interes larg și semi-specializate.</w:t>
            </w:r>
          </w:p>
          <w:p w14:paraId="5DB66B82" w14:textId="77777777" w:rsidR="00E51BF5" w:rsidRPr="00E51BF5" w:rsidRDefault="00E51BF5" w:rsidP="00AD3D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Cunoașterea bună a conceptelor gramaticale</w:t>
            </w:r>
            <w:r w:rsidR="00FC039F">
              <w:rPr>
                <w:rFonts w:eastAsia="Times New Roman"/>
                <w:lang w:val="ro-RO"/>
              </w:rPr>
              <w:t>/semantice/pragmatice</w:t>
            </w:r>
            <w:r w:rsidRPr="00E51BF5">
              <w:rPr>
                <w:rFonts w:eastAsia="Times New Roman"/>
                <w:lang w:val="ro-RO"/>
              </w:rPr>
              <w:t xml:space="preserve"> și aplicarea lor adecvată.</w:t>
            </w:r>
          </w:p>
          <w:p w14:paraId="3A47485F" w14:textId="77777777" w:rsidR="00E51BF5" w:rsidRPr="00E51BF5" w:rsidRDefault="00E51BF5" w:rsidP="00AD3DD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lang w:val="ro-RO"/>
              </w:rPr>
            </w:pPr>
            <w:r w:rsidRPr="00E51BF5">
              <w:rPr>
                <w:rFonts w:eastAsia="Times New Roman"/>
                <w:lang w:val="ro-RO"/>
              </w:rPr>
              <w:t>Gestionarea optimă a sarcinilor profesionale și deprinderea executării lor la termen, în mod riguros, eficient și responsabil.</w:t>
            </w:r>
          </w:p>
        </w:tc>
      </w:tr>
    </w:tbl>
    <w:p w14:paraId="13661398" w14:textId="77777777" w:rsidR="000268B9" w:rsidRPr="00E51BF5" w:rsidRDefault="000268B9" w:rsidP="00AD3DD6">
      <w:pPr>
        <w:spacing w:after="0" w:line="240" w:lineRule="auto"/>
        <w:contextualSpacing/>
        <w:rPr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AD3DD6" w:rsidRPr="002A4B91" w14:paraId="6F2D571D" w14:textId="77777777" w:rsidTr="00BC5CED">
        <w:trPr>
          <w:trHeight w:val="952"/>
        </w:trPr>
        <w:tc>
          <w:tcPr>
            <w:tcW w:w="2250" w:type="dxa"/>
          </w:tcPr>
          <w:p w14:paraId="0EF2952B" w14:textId="77777777" w:rsidR="00AD3DD6" w:rsidRPr="002A4B91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</w:p>
        </w:tc>
        <w:tc>
          <w:tcPr>
            <w:tcW w:w="4140" w:type="dxa"/>
          </w:tcPr>
          <w:p w14:paraId="0B514D38" w14:textId="77777777" w:rsidR="00AD3DD6" w:rsidRPr="002A4B91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 disciplinei:</w:t>
            </w:r>
          </w:p>
        </w:tc>
        <w:tc>
          <w:tcPr>
            <w:tcW w:w="4066" w:type="dxa"/>
          </w:tcPr>
          <w:p w14:paraId="490C1278" w14:textId="77777777" w:rsidR="00AD3DD6" w:rsidRPr="002A4B91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titularului/rilor de aplicații:</w:t>
            </w:r>
          </w:p>
        </w:tc>
      </w:tr>
      <w:tr w:rsidR="00AD3DD6" w:rsidRPr="002A4B91" w14:paraId="41ADE940" w14:textId="77777777" w:rsidTr="00BC5CED">
        <w:trPr>
          <w:trHeight w:val="952"/>
        </w:trPr>
        <w:tc>
          <w:tcPr>
            <w:tcW w:w="2250" w:type="dxa"/>
          </w:tcPr>
          <w:p w14:paraId="3973E55A" w14:textId="77777777" w:rsidR="00AD3DD6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 xml:space="preserve">Data: </w:t>
            </w:r>
            <w:r>
              <w:t>16. 09. 2019</w:t>
            </w:r>
          </w:p>
        </w:tc>
        <w:tc>
          <w:tcPr>
            <w:tcW w:w="4140" w:type="dxa"/>
          </w:tcPr>
          <w:p w14:paraId="2E32843D" w14:textId="77777777" w:rsidR="00AD3DD6" w:rsidRPr="002A4B91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  <w:r w:rsidRPr="002A4B91">
              <w:rPr>
                <w:lang w:val="ro-RO"/>
              </w:rPr>
              <w:t>Semnătura directorului de departament:</w:t>
            </w:r>
          </w:p>
        </w:tc>
        <w:tc>
          <w:tcPr>
            <w:tcW w:w="4066" w:type="dxa"/>
          </w:tcPr>
          <w:p w14:paraId="6307EA21" w14:textId="77777777" w:rsidR="00AD3DD6" w:rsidRDefault="00AD3DD6" w:rsidP="00AD3DD6">
            <w:pPr>
              <w:spacing w:after="0" w:line="240" w:lineRule="auto"/>
              <w:contextualSpacing/>
              <w:rPr>
                <w:lang w:val="ro-RO"/>
              </w:rPr>
            </w:pPr>
            <w:r>
              <w:rPr>
                <w:lang w:val="ro-RO"/>
              </w:rPr>
              <w:t>Semnătura coordonatorului programului de studii:</w:t>
            </w:r>
          </w:p>
        </w:tc>
      </w:tr>
    </w:tbl>
    <w:p w14:paraId="2759842E" w14:textId="77777777" w:rsidR="00284E8B" w:rsidRPr="00E51BF5" w:rsidRDefault="00284E8B" w:rsidP="00AD3DD6">
      <w:pPr>
        <w:spacing w:after="0" w:line="240" w:lineRule="auto"/>
        <w:contextualSpacing/>
        <w:rPr>
          <w:szCs w:val="24"/>
          <w:lang w:val="ro-RO"/>
        </w:rPr>
      </w:pPr>
    </w:p>
    <w:sectPr w:rsidR="00284E8B" w:rsidRPr="00E51BF5" w:rsidSect="002A3105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ED19A" w14:textId="77777777" w:rsidR="00414137" w:rsidRDefault="00414137" w:rsidP="00666848">
      <w:pPr>
        <w:spacing w:after="0" w:line="240" w:lineRule="auto"/>
      </w:pPr>
      <w:r>
        <w:separator/>
      </w:r>
    </w:p>
  </w:endnote>
  <w:endnote w:type="continuationSeparator" w:id="0">
    <w:p w14:paraId="092F7DE9" w14:textId="77777777" w:rsidR="00414137" w:rsidRDefault="00414137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300B4" w14:textId="67E44628" w:rsidR="00952B85" w:rsidRDefault="009407B8" w:rsidP="00AD3D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2418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57489" w14:textId="77777777" w:rsidR="00414137" w:rsidRDefault="00414137" w:rsidP="00666848">
      <w:pPr>
        <w:spacing w:after="0" w:line="240" w:lineRule="auto"/>
      </w:pPr>
      <w:r>
        <w:separator/>
      </w:r>
    </w:p>
  </w:footnote>
  <w:footnote w:type="continuationSeparator" w:id="0">
    <w:p w14:paraId="6BBA1BA8" w14:textId="77777777" w:rsidR="00414137" w:rsidRDefault="00414137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D06E7" w14:textId="6DA02109" w:rsidR="00AD3DD6" w:rsidRPr="00AD3DD6" w:rsidRDefault="00AD3DD6" w:rsidP="00AD3DD6">
    <w:pPr>
      <w:pStyle w:val="Header"/>
      <w:jc w:val="right"/>
      <w:rPr>
        <w:sz w:val="16"/>
        <w:szCs w:val="16"/>
      </w:rPr>
    </w:pPr>
    <w:r w:rsidRPr="00AD3DD6">
      <w:rPr>
        <w:sz w:val="16"/>
        <w:szCs w:val="16"/>
      </w:rPr>
      <w:fldChar w:fldCharType="begin"/>
    </w:r>
    <w:r w:rsidRPr="00AD3DD6">
      <w:rPr>
        <w:sz w:val="16"/>
        <w:szCs w:val="16"/>
        <w:lang w:val="ro-RO"/>
      </w:rPr>
      <w:instrText xml:space="preserve"> FILENAME \* MERGEFORMAT </w:instrText>
    </w:r>
    <w:r w:rsidRPr="00AD3DD6">
      <w:rPr>
        <w:sz w:val="16"/>
        <w:szCs w:val="16"/>
      </w:rPr>
      <w:fldChar w:fldCharType="separate"/>
    </w:r>
    <w:r w:rsidR="00E93A4E">
      <w:rPr>
        <w:noProof/>
        <w:sz w:val="16"/>
        <w:szCs w:val="16"/>
        <w:lang w:val="ro-RO"/>
      </w:rPr>
      <w:t>3.3.6 FD 5.04 AD 19-20.1 SR</w:t>
    </w:r>
    <w:r w:rsidRPr="00AD3DD6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73D"/>
    <w:multiLevelType w:val="hybridMultilevel"/>
    <w:tmpl w:val="444A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B4C2D"/>
    <w:multiLevelType w:val="hybridMultilevel"/>
    <w:tmpl w:val="2632A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E71F2"/>
    <w:multiLevelType w:val="hybridMultilevel"/>
    <w:tmpl w:val="62BACE6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790A1C"/>
    <w:multiLevelType w:val="hybridMultilevel"/>
    <w:tmpl w:val="0C20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BC059C"/>
    <w:multiLevelType w:val="hybridMultilevel"/>
    <w:tmpl w:val="8FD0C80C"/>
    <w:lvl w:ilvl="0" w:tplc="0A52713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A373F"/>
    <w:multiLevelType w:val="hybridMultilevel"/>
    <w:tmpl w:val="A5BCC0C4"/>
    <w:lvl w:ilvl="0" w:tplc="C90C54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1291"/>
    <w:multiLevelType w:val="multilevel"/>
    <w:tmpl w:val="FC7CB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D97548"/>
    <w:multiLevelType w:val="hybridMultilevel"/>
    <w:tmpl w:val="A398A518"/>
    <w:lvl w:ilvl="0" w:tplc="18107B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CB29BE"/>
    <w:multiLevelType w:val="hybridMultilevel"/>
    <w:tmpl w:val="3764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31752"/>
    <w:multiLevelType w:val="hybridMultilevel"/>
    <w:tmpl w:val="D730D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1070C"/>
    <w:multiLevelType w:val="hybridMultilevel"/>
    <w:tmpl w:val="455C4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225190C"/>
    <w:multiLevelType w:val="hybridMultilevel"/>
    <w:tmpl w:val="120C9AFA"/>
    <w:lvl w:ilvl="0" w:tplc="E1701D5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8363B"/>
    <w:multiLevelType w:val="hybridMultilevel"/>
    <w:tmpl w:val="E66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51A58"/>
    <w:multiLevelType w:val="hybridMultilevel"/>
    <w:tmpl w:val="BD26FA4A"/>
    <w:lvl w:ilvl="0" w:tplc="491C3C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AA91800"/>
    <w:multiLevelType w:val="hybridMultilevel"/>
    <w:tmpl w:val="BD26FA4A"/>
    <w:lvl w:ilvl="0" w:tplc="491C3C8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B13CA"/>
    <w:multiLevelType w:val="hybridMultilevel"/>
    <w:tmpl w:val="D3DC54BE"/>
    <w:lvl w:ilvl="0" w:tplc="8292C4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30"/>
  </w:num>
  <w:num w:numId="5">
    <w:abstractNumId w:val="22"/>
  </w:num>
  <w:num w:numId="6">
    <w:abstractNumId w:val="1"/>
  </w:num>
  <w:num w:numId="7">
    <w:abstractNumId w:val="4"/>
  </w:num>
  <w:num w:numId="8">
    <w:abstractNumId w:val="16"/>
  </w:num>
  <w:num w:numId="9">
    <w:abstractNumId w:val="8"/>
  </w:num>
  <w:num w:numId="10">
    <w:abstractNumId w:val="27"/>
  </w:num>
  <w:num w:numId="11">
    <w:abstractNumId w:val="9"/>
  </w:num>
  <w:num w:numId="12">
    <w:abstractNumId w:val="11"/>
  </w:num>
  <w:num w:numId="13">
    <w:abstractNumId w:val="7"/>
  </w:num>
  <w:num w:numId="14">
    <w:abstractNumId w:val="10"/>
  </w:num>
  <w:num w:numId="15">
    <w:abstractNumId w:val="26"/>
  </w:num>
  <w:num w:numId="16">
    <w:abstractNumId w:val="6"/>
  </w:num>
  <w:num w:numId="17">
    <w:abstractNumId w:val="17"/>
  </w:num>
  <w:num w:numId="18">
    <w:abstractNumId w:val="2"/>
  </w:num>
  <w:num w:numId="19">
    <w:abstractNumId w:val="31"/>
  </w:num>
  <w:num w:numId="20">
    <w:abstractNumId w:val="21"/>
  </w:num>
  <w:num w:numId="21">
    <w:abstractNumId w:val="12"/>
  </w:num>
  <w:num w:numId="22">
    <w:abstractNumId w:val="25"/>
  </w:num>
  <w:num w:numId="23">
    <w:abstractNumId w:val="20"/>
  </w:num>
  <w:num w:numId="24">
    <w:abstractNumId w:val="23"/>
  </w:num>
  <w:num w:numId="25">
    <w:abstractNumId w:val="3"/>
  </w:num>
  <w:num w:numId="26">
    <w:abstractNumId w:val="5"/>
  </w:num>
  <w:num w:numId="27">
    <w:abstractNumId w:val="14"/>
  </w:num>
  <w:num w:numId="28">
    <w:abstractNumId w:val="28"/>
  </w:num>
  <w:num w:numId="29">
    <w:abstractNumId w:val="29"/>
  </w:num>
  <w:num w:numId="30">
    <w:abstractNumId w:val="24"/>
  </w:num>
  <w:num w:numId="31">
    <w:abstractNumId w:val="1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113C5"/>
    <w:rsid w:val="000143DC"/>
    <w:rsid w:val="00016B57"/>
    <w:rsid w:val="000268B9"/>
    <w:rsid w:val="00034EF3"/>
    <w:rsid w:val="00050AF5"/>
    <w:rsid w:val="00053690"/>
    <w:rsid w:val="00064D9C"/>
    <w:rsid w:val="00071454"/>
    <w:rsid w:val="0007194F"/>
    <w:rsid w:val="00073FD0"/>
    <w:rsid w:val="00074325"/>
    <w:rsid w:val="00084B99"/>
    <w:rsid w:val="000A4AAC"/>
    <w:rsid w:val="000C58EB"/>
    <w:rsid w:val="000F0BAC"/>
    <w:rsid w:val="001138E1"/>
    <w:rsid w:val="00130AD9"/>
    <w:rsid w:val="001627E0"/>
    <w:rsid w:val="001B2BA8"/>
    <w:rsid w:val="001B395E"/>
    <w:rsid w:val="001C6FB6"/>
    <w:rsid w:val="001D0B30"/>
    <w:rsid w:val="001E4C42"/>
    <w:rsid w:val="002001FD"/>
    <w:rsid w:val="0020056E"/>
    <w:rsid w:val="002047E0"/>
    <w:rsid w:val="00237610"/>
    <w:rsid w:val="00237E01"/>
    <w:rsid w:val="002646AF"/>
    <w:rsid w:val="0027455B"/>
    <w:rsid w:val="002812A5"/>
    <w:rsid w:val="00282418"/>
    <w:rsid w:val="00284E8B"/>
    <w:rsid w:val="00291777"/>
    <w:rsid w:val="002A3105"/>
    <w:rsid w:val="002C1636"/>
    <w:rsid w:val="002F6364"/>
    <w:rsid w:val="00300447"/>
    <w:rsid w:val="003274D2"/>
    <w:rsid w:val="0034390B"/>
    <w:rsid w:val="00343DED"/>
    <w:rsid w:val="00356390"/>
    <w:rsid w:val="00371DED"/>
    <w:rsid w:val="003806E1"/>
    <w:rsid w:val="00382FF1"/>
    <w:rsid w:val="00392608"/>
    <w:rsid w:val="003A06B5"/>
    <w:rsid w:val="003B5A02"/>
    <w:rsid w:val="003B7840"/>
    <w:rsid w:val="003C00B0"/>
    <w:rsid w:val="003E7F77"/>
    <w:rsid w:val="0040409F"/>
    <w:rsid w:val="0040763F"/>
    <w:rsid w:val="00414137"/>
    <w:rsid w:val="00422BA9"/>
    <w:rsid w:val="0043104B"/>
    <w:rsid w:val="00435E7A"/>
    <w:rsid w:val="00450A21"/>
    <w:rsid w:val="00452DCF"/>
    <w:rsid w:val="00457FAE"/>
    <w:rsid w:val="00470F45"/>
    <w:rsid w:val="00477FDA"/>
    <w:rsid w:val="004966FF"/>
    <w:rsid w:val="004A2D32"/>
    <w:rsid w:val="004F0D5B"/>
    <w:rsid w:val="005078CB"/>
    <w:rsid w:val="0055535D"/>
    <w:rsid w:val="00556C56"/>
    <w:rsid w:val="005A12E1"/>
    <w:rsid w:val="00602EBC"/>
    <w:rsid w:val="00614BDA"/>
    <w:rsid w:val="0062313E"/>
    <w:rsid w:val="00656C86"/>
    <w:rsid w:val="00666848"/>
    <w:rsid w:val="00696A5C"/>
    <w:rsid w:val="006D0145"/>
    <w:rsid w:val="006D061F"/>
    <w:rsid w:val="006D7986"/>
    <w:rsid w:val="006F1AC4"/>
    <w:rsid w:val="006F67F0"/>
    <w:rsid w:val="0070094C"/>
    <w:rsid w:val="00725B23"/>
    <w:rsid w:val="00726B6A"/>
    <w:rsid w:val="007449F1"/>
    <w:rsid w:val="00744DDD"/>
    <w:rsid w:val="00752960"/>
    <w:rsid w:val="00757C43"/>
    <w:rsid w:val="00761633"/>
    <w:rsid w:val="00774235"/>
    <w:rsid w:val="007E5DD7"/>
    <w:rsid w:val="008027E9"/>
    <w:rsid w:val="00816C94"/>
    <w:rsid w:val="00827CAD"/>
    <w:rsid w:val="0083153A"/>
    <w:rsid w:val="00850029"/>
    <w:rsid w:val="008712DB"/>
    <w:rsid w:val="00897094"/>
    <w:rsid w:val="00897E4F"/>
    <w:rsid w:val="008B1D67"/>
    <w:rsid w:val="008C07C5"/>
    <w:rsid w:val="008D1BFE"/>
    <w:rsid w:val="009407B8"/>
    <w:rsid w:val="0094691D"/>
    <w:rsid w:val="0094707C"/>
    <w:rsid w:val="00952B85"/>
    <w:rsid w:val="009565F8"/>
    <w:rsid w:val="00960D41"/>
    <w:rsid w:val="00961885"/>
    <w:rsid w:val="0098490E"/>
    <w:rsid w:val="009B3CFF"/>
    <w:rsid w:val="009C04A8"/>
    <w:rsid w:val="009C7D6C"/>
    <w:rsid w:val="009D4FD8"/>
    <w:rsid w:val="00A26881"/>
    <w:rsid w:val="00A3069A"/>
    <w:rsid w:val="00A332C2"/>
    <w:rsid w:val="00A352F6"/>
    <w:rsid w:val="00A43299"/>
    <w:rsid w:val="00A44C28"/>
    <w:rsid w:val="00A5014E"/>
    <w:rsid w:val="00A54E4F"/>
    <w:rsid w:val="00A61861"/>
    <w:rsid w:val="00A637BC"/>
    <w:rsid w:val="00A73CB1"/>
    <w:rsid w:val="00A868C1"/>
    <w:rsid w:val="00AB0165"/>
    <w:rsid w:val="00AB18CF"/>
    <w:rsid w:val="00AB4356"/>
    <w:rsid w:val="00AC33D3"/>
    <w:rsid w:val="00AD2F32"/>
    <w:rsid w:val="00AD3DD6"/>
    <w:rsid w:val="00B06E6B"/>
    <w:rsid w:val="00B07561"/>
    <w:rsid w:val="00B23337"/>
    <w:rsid w:val="00B236DC"/>
    <w:rsid w:val="00B24A7D"/>
    <w:rsid w:val="00B32698"/>
    <w:rsid w:val="00B7109F"/>
    <w:rsid w:val="00B82749"/>
    <w:rsid w:val="00B96DA8"/>
    <w:rsid w:val="00BB303C"/>
    <w:rsid w:val="00BE5F89"/>
    <w:rsid w:val="00BF122D"/>
    <w:rsid w:val="00BF1283"/>
    <w:rsid w:val="00C1183D"/>
    <w:rsid w:val="00C22E24"/>
    <w:rsid w:val="00C332A4"/>
    <w:rsid w:val="00C362E0"/>
    <w:rsid w:val="00C44284"/>
    <w:rsid w:val="00C47442"/>
    <w:rsid w:val="00C816A2"/>
    <w:rsid w:val="00C92687"/>
    <w:rsid w:val="00CC0C58"/>
    <w:rsid w:val="00CE11DF"/>
    <w:rsid w:val="00CE71E1"/>
    <w:rsid w:val="00D00FBE"/>
    <w:rsid w:val="00D22AFB"/>
    <w:rsid w:val="00D24033"/>
    <w:rsid w:val="00D7002C"/>
    <w:rsid w:val="00D74F11"/>
    <w:rsid w:val="00D812BA"/>
    <w:rsid w:val="00DA2172"/>
    <w:rsid w:val="00DD0DDC"/>
    <w:rsid w:val="00DD2B25"/>
    <w:rsid w:val="00E037F6"/>
    <w:rsid w:val="00E31B78"/>
    <w:rsid w:val="00E3215E"/>
    <w:rsid w:val="00E34F81"/>
    <w:rsid w:val="00E4155A"/>
    <w:rsid w:val="00E458DA"/>
    <w:rsid w:val="00E51BF5"/>
    <w:rsid w:val="00E630F9"/>
    <w:rsid w:val="00E86576"/>
    <w:rsid w:val="00E93A4E"/>
    <w:rsid w:val="00E95A7E"/>
    <w:rsid w:val="00EB1368"/>
    <w:rsid w:val="00EB4A69"/>
    <w:rsid w:val="00ED2EE6"/>
    <w:rsid w:val="00ED4EFF"/>
    <w:rsid w:val="00EF5AEB"/>
    <w:rsid w:val="00F15C49"/>
    <w:rsid w:val="00F272CA"/>
    <w:rsid w:val="00F46278"/>
    <w:rsid w:val="00F72804"/>
    <w:rsid w:val="00F85673"/>
    <w:rsid w:val="00FA037A"/>
    <w:rsid w:val="00FC039F"/>
    <w:rsid w:val="00FE1011"/>
    <w:rsid w:val="00FE6839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89E066"/>
  <w15:docId w15:val="{40310AF1-4D4C-4B40-ACA6-AC414CF4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qFormat/>
    <w:locked/>
    <w:rsid w:val="00EF5AEB"/>
    <w:pPr>
      <w:keepNext/>
      <w:spacing w:after="0" w:line="240" w:lineRule="auto"/>
      <w:outlineLvl w:val="3"/>
    </w:pPr>
    <w:rPr>
      <w:rFonts w:eastAsia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336"/>
    <w:rPr>
      <w:rFonts w:ascii="Times New Roman" w:hAnsi="Times New Roman"/>
      <w:sz w:val="0"/>
      <w:szCs w:val="0"/>
      <w:lang w:val="ro-RO"/>
    </w:rPr>
  </w:style>
  <w:style w:type="paragraph" w:styleId="BodyText">
    <w:name w:val="Body Text"/>
    <w:basedOn w:val="Normal"/>
    <w:link w:val="BodyTextChar"/>
    <w:rsid w:val="0062313E"/>
    <w:pPr>
      <w:spacing w:after="0" w:line="240" w:lineRule="auto"/>
    </w:pPr>
    <w:rPr>
      <w:rFonts w:ascii="Verdana" w:eastAsia="Times New Roman" w:hAnsi="Verdana"/>
      <w:szCs w:val="20"/>
    </w:rPr>
  </w:style>
  <w:style w:type="character" w:customStyle="1" w:styleId="BodyTextChar">
    <w:name w:val="Body Text Char"/>
    <w:link w:val="BodyText"/>
    <w:semiHidden/>
    <w:rsid w:val="0062313E"/>
    <w:rPr>
      <w:rFonts w:ascii="Verdana" w:eastAsia="Times New Roman" w:hAnsi="Verdana"/>
      <w:sz w:val="24"/>
    </w:rPr>
  </w:style>
  <w:style w:type="character" w:customStyle="1" w:styleId="Heading4Char">
    <w:name w:val="Heading 4 Char"/>
    <w:link w:val="Heading4"/>
    <w:rsid w:val="00EF5AEB"/>
    <w:rPr>
      <w:rFonts w:ascii="Times New Roman" w:eastAsia="Times New Roman" w:hAnsi="Times New Roman"/>
      <w:b/>
      <w:sz w:val="22"/>
      <w:lang w:val="ro-RO" w:eastAsia="zh-CN"/>
    </w:rPr>
  </w:style>
  <w:style w:type="character" w:styleId="Hyperlink">
    <w:name w:val="Hyperlink"/>
    <w:uiPriority w:val="99"/>
    <w:unhideWhenUsed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668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character" w:styleId="PlaceholderText">
    <w:name w:val="Placeholder Text"/>
    <w:uiPriority w:val="99"/>
    <w:semiHidden/>
    <w:rsid w:val="002A31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1648</Words>
  <Characters>9398</Characters>
  <Application>Microsoft Office Word</Application>
  <DocSecurity>0</DocSecurity>
  <Lines>78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Hewlett-Packard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Attila Imre</cp:lastModifiedBy>
  <cp:revision>8</cp:revision>
  <cp:lastPrinted>2019-11-18T19:46:00Z</cp:lastPrinted>
  <dcterms:created xsi:type="dcterms:W3CDTF">2019-10-02T08:47:00Z</dcterms:created>
  <dcterms:modified xsi:type="dcterms:W3CDTF">2019-11-18T19:46:00Z</dcterms:modified>
</cp:coreProperties>
</file>