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684FD" w14:textId="77777777" w:rsidR="008027E9" w:rsidRPr="00E51BF5" w:rsidRDefault="008027E9" w:rsidP="001833F6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1C18D1C0" w14:textId="77777777" w:rsidR="003B7840" w:rsidRPr="00E51BF5" w:rsidRDefault="003B7840" w:rsidP="001833F6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7F33858B" w14:textId="77777777" w:rsidR="008027E9" w:rsidRPr="00E51BF5" w:rsidRDefault="008027E9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56747F90" w14:textId="77777777" w:rsidTr="003B7840">
        <w:tc>
          <w:tcPr>
            <w:tcW w:w="3888" w:type="dxa"/>
          </w:tcPr>
          <w:p w14:paraId="76971AAE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1DE788B6" w14:textId="77777777" w:rsidR="008027E9" w:rsidRPr="00E51BF5" w:rsidRDefault="00C332A4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Universitatea Sapientia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2A3734AD" w14:textId="77777777" w:rsidTr="003B7840">
        <w:tc>
          <w:tcPr>
            <w:tcW w:w="3888" w:type="dxa"/>
          </w:tcPr>
          <w:p w14:paraId="4E4EA229" w14:textId="3754ED8F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B1143B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39AFD97C" w14:textId="409C427D" w:rsidR="008027E9" w:rsidRPr="00E51BF5" w:rsidRDefault="00B1143B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50E04DDF" w14:textId="77777777" w:rsidTr="003B7840">
        <w:tc>
          <w:tcPr>
            <w:tcW w:w="3888" w:type="dxa"/>
          </w:tcPr>
          <w:p w14:paraId="22ECA764" w14:textId="77777777" w:rsidR="002A3105" w:rsidRPr="00E51BF5" w:rsidRDefault="002A310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6BDE794C" w14:textId="77777777" w:rsidR="002A3105" w:rsidRPr="00E51BF5" w:rsidRDefault="002A3105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302223F3" w14:textId="77777777" w:rsidTr="003B7840">
        <w:tc>
          <w:tcPr>
            <w:tcW w:w="3888" w:type="dxa"/>
          </w:tcPr>
          <w:p w14:paraId="48184831" w14:textId="77777777" w:rsidR="002A3105" w:rsidRPr="00E51BF5" w:rsidRDefault="002A310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66965405" w14:textId="77777777" w:rsidR="002A3105" w:rsidRPr="00E51BF5" w:rsidRDefault="002A3105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548560EA" w14:textId="77777777" w:rsidTr="003B7840">
        <w:tc>
          <w:tcPr>
            <w:tcW w:w="3888" w:type="dxa"/>
          </w:tcPr>
          <w:p w14:paraId="28C9FCD7" w14:textId="77777777" w:rsidR="002A3105" w:rsidRPr="00E51BF5" w:rsidRDefault="002A310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67F59C98" w14:textId="77777777" w:rsidR="002A3105" w:rsidRPr="00E51BF5" w:rsidRDefault="002A3105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0113C5" w:rsidRPr="00E51BF5">
              <w:rPr>
                <w:rFonts w:eastAsia="Times New Roman"/>
                <w:lang w:val="ro-RO"/>
              </w:rPr>
              <w:t>–</w:t>
            </w:r>
            <w:r w:rsidRPr="00E51BF5">
              <w:rPr>
                <w:rFonts w:eastAsia="Times New Roman"/>
                <w:lang w:val="ro-RO"/>
              </w:rPr>
              <w:t xml:space="preserve"> Interpretare</w:t>
            </w:r>
          </w:p>
        </w:tc>
      </w:tr>
      <w:tr w:rsidR="002A3105" w:rsidRPr="00E51BF5" w14:paraId="42577AA0" w14:textId="77777777" w:rsidTr="003B7840">
        <w:tc>
          <w:tcPr>
            <w:tcW w:w="3888" w:type="dxa"/>
          </w:tcPr>
          <w:p w14:paraId="1BE3C7DA" w14:textId="77777777" w:rsidR="002A3105" w:rsidRPr="00E51BF5" w:rsidRDefault="002A310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C76BDAE" w14:textId="77777777" w:rsidR="002A3105" w:rsidRPr="00E51BF5" w:rsidRDefault="002A3105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310831BB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</w:p>
    <w:p w14:paraId="2268921A" w14:textId="77777777" w:rsidR="008027E9" w:rsidRPr="00E51BF5" w:rsidRDefault="008027E9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138E1" w:rsidRPr="00E51BF5" w14:paraId="6245C348" w14:textId="77777777" w:rsidTr="003B7840">
        <w:tc>
          <w:tcPr>
            <w:tcW w:w="3887" w:type="dxa"/>
            <w:gridSpan w:val="3"/>
          </w:tcPr>
          <w:p w14:paraId="20B9A7A5" w14:textId="77777777" w:rsidR="001138E1" w:rsidRPr="00E51BF5" w:rsidRDefault="001138E1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D612143" w14:textId="77777777" w:rsidR="001138E1" w:rsidRPr="00E51BF5" w:rsidRDefault="00ED4EF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0D4CECED" w14:textId="77777777" w:rsidTr="003B7840">
        <w:tc>
          <w:tcPr>
            <w:tcW w:w="3887" w:type="dxa"/>
            <w:gridSpan w:val="3"/>
          </w:tcPr>
          <w:p w14:paraId="296186FC" w14:textId="77777777" w:rsidR="00A61861" w:rsidRPr="00E51BF5" w:rsidRDefault="00A61861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1D84459E" w14:textId="77777777" w:rsidR="00A61861" w:rsidRPr="00581F83" w:rsidRDefault="00581F83" w:rsidP="001833F6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 w:rsidRPr="0065170A">
              <w:rPr>
                <w:b/>
                <w:bCs/>
                <w:shd w:val="clear" w:color="auto" w:fill="FFFFFF"/>
              </w:rPr>
              <w:t>Limbă modernă pentru obiective specifice I M-E/G</w:t>
            </w:r>
            <w:r w:rsidRPr="00581F83">
              <w:rPr>
                <w:rFonts w:eastAsia="Times New Roman"/>
                <w:b/>
                <w:lang w:val="ro-RO"/>
              </w:rPr>
              <w:t xml:space="preserve"> </w:t>
            </w:r>
            <w:r w:rsidR="00CF2D9F" w:rsidRPr="00581F83">
              <w:rPr>
                <w:rFonts w:eastAsia="Times New Roman"/>
                <w:b/>
                <w:lang w:val="ro-RO"/>
              </w:rPr>
              <w:t>(MBHB0761, 0771)</w:t>
            </w:r>
          </w:p>
          <w:p w14:paraId="766F9097" w14:textId="77777777" w:rsidR="00CF2D9F" w:rsidRDefault="00CF2D9F" w:rsidP="001833F6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Szaknyelvek I M-A/N</w:t>
            </w:r>
          </w:p>
          <w:p w14:paraId="310AFB06" w14:textId="77777777" w:rsidR="00CF2D9F" w:rsidRPr="00E51BF5" w:rsidRDefault="00CF2D9F" w:rsidP="001833F6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Special Languages I M-E/G</w:t>
            </w:r>
          </w:p>
        </w:tc>
      </w:tr>
      <w:tr w:rsidR="00A61861" w:rsidRPr="00E51BF5" w14:paraId="14300906" w14:textId="77777777" w:rsidTr="003B7840">
        <w:tc>
          <w:tcPr>
            <w:tcW w:w="3887" w:type="dxa"/>
            <w:gridSpan w:val="3"/>
          </w:tcPr>
          <w:p w14:paraId="5B29E81C" w14:textId="77777777" w:rsidR="00A61861" w:rsidRPr="00E51BF5" w:rsidRDefault="00A61861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71BA53DC" w14:textId="0C0A426E" w:rsidR="00A61861" w:rsidRPr="00E51BF5" w:rsidRDefault="00B1143B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4B79E4">
              <w:rPr>
                <w:rFonts w:eastAsia="Times New Roman"/>
                <w:lang w:val="ro-RO"/>
              </w:rPr>
              <w:t>BIRÓ Enikő</w:t>
            </w:r>
          </w:p>
        </w:tc>
      </w:tr>
      <w:tr w:rsidR="00392608" w:rsidRPr="00E51BF5" w14:paraId="02CD0EB3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11D6E673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7C539740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2DDE6B69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48CB6A0B" w14:textId="1A83CB99" w:rsidR="00392608" w:rsidRDefault="00B1143B" w:rsidP="001833F6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9E15E3">
              <w:rPr>
                <w:rFonts w:eastAsia="Times New Roman"/>
                <w:lang w:val="ro-RO"/>
              </w:rPr>
              <w:t xml:space="preserve">KOVÁCS </w:t>
            </w:r>
            <w:r w:rsidR="00296496">
              <w:rPr>
                <w:rFonts w:eastAsia="Times New Roman"/>
                <w:lang w:val="ro-RO"/>
              </w:rPr>
              <w:t>Gabriella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CF2D9F">
              <w:rPr>
                <w:rFonts w:eastAsia="Times New Roman"/>
                <w:lang w:val="ro-RO"/>
              </w:rPr>
              <w:t>(E)</w:t>
            </w:r>
          </w:p>
          <w:p w14:paraId="3EB00C1A" w14:textId="32D79F44" w:rsidR="00CF2D9F" w:rsidRPr="00E51BF5" w:rsidRDefault="00B1143B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CF2D9F">
              <w:rPr>
                <w:rFonts w:eastAsia="Times New Roman"/>
                <w:lang w:val="ro-RO"/>
              </w:rPr>
              <w:t>KOMMER Alois</w:t>
            </w:r>
            <w:r w:rsidR="00BE4789">
              <w:rPr>
                <w:rFonts w:eastAsia="Times New Roman"/>
                <w:lang w:val="ro-RO"/>
              </w:rPr>
              <w:t xml:space="preserve"> (G)</w:t>
            </w:r>
          </w:p>
        </w:tc>
      </w:tr>
      <w:tr w:rsidR="00392608" w:rsidRPr="00E51BF5" w14:paraId="7F471699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0FB9A6EC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6045608F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609640F6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7615D77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653AE7BC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FD916C1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664A9C77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21AE30C" w14:textId="77777777" w:rsidTr="003B7840">
        <w:tc>
          <w:tcPr>
            <w:tcW w:w="1984" w:type="dxa"/>
          </w:tcPr>
          <w:p w14:paraId="4D4B8F12" w14:textId="77777777" w:rsidR="00392608" w:rsidRPr="00E51BF5" w:rsidRDefault="00392608" w:rsidP="001833F6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66BC9481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CF2D9F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6B9A1970" w14:textId="77777777" w:rsidR="00392608" w:rsidRPr="00E51BF5" w:rsidRDefault="00392608" w:rsidP="001833F6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11CED234" w14:textId="77777777" w:rsidR="00392608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2159" w:type="dxa"/>
          </w:tcPr>
          <w:p w14:paraId="4662D9C0" w14:textId="77777777" w:rsidR="00392608" w:rsidRPr="00E51BF5" w:rsidRDefault="00392608" w:rsidP="001833F6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594871D1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4B433B50" w14:textId="77777777" w:rsidR="00392608" w:rsidRPr="00E51BF5" w:rsidRDefault="00392608" w:rsidP="001833F6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6D47447A" w14:textId="77777777" w:rsidR="0039260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3C851E66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</w:p>
    <w:p w14:paraId="59EBFD21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27F16623" w14:textId="77777777" w:rsidTr="00DF4548">
        <w:tc>
          <w:tcPr>
            <w:tcW w:w="4005" w:type="dxa"/>
            <w:shd w:val="clear" w:color="auto" w:fill="auto"/>
          </w:tcPr>
          <w:p w14:paraId="4D5ABF2B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2D64A8D8" w14:textId="77777777" w:rsidR="008027E9" w:rsidRPr="00E51BF5" w:rsidRDefault="00604940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09AE203E" w14:textId="77777777" w:rsidR="008027E9" w:rsidRPr="00E51BF5" w:rsidRDefault="008027E9" w:rsidP="001833F6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78179FB8" w14:textId="77777777" w:rsidR="008027E9" w:rsidRPr="00E51BF5" w:rsidRDefault="00DF4548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3D5754B3" w14:textId="77777777" w:rsidR="008027E9" w:rsidRPr="00E51BF5" w:rsidRDefault="008027E9" w:rsidP="001833F6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5A591E6F" w14:textId="77777777" w:rsidR="001E4C42" w:rsidRPr="00E51BF5" w:rsidRDefault="004B79E4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</w:tr>
      <w:tr w:rsidR="008027E9" w:rsidRPr="00E51BF5" w14:paraId="0488AC84" w14:textId="77777777" w:rsidTr="00DF4548">
        <w:tc>
          <w:tcPr>
            <w:tcW w:w="4005" w:type="dxa"/>
            <w:shd w:val="clear" w:color="auto" w:fill="auto"/>
          </w:tcPr>
          <w:p w14:paraId="72E81013" w14:textId="77777777" w:rsidR="008027E9" w:rsidRPr="00E51BF5" w:rsidRDefault="008027E9" w:rsidP="001833F6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4BBD8E0E" w14:textId="77777777" w:rsidR="008027E9" w:rsidRPr="00E51BF5" w:rsidRDefault="004B79E4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56</w:t>
            </w:r>
          </w:p>
        </w:tc>
        <w:tc>
          <w:tcPr>
            <w:tcW w:w="2040" w:type="dxa"/>
            <w:shd w:val="clear" w:color="auto" w:fill="auto"/>
          </w:tcPr>
          <w:p w14:paraId="41FF9151" w14:textId="77777777" w:rsidR="008027E9" w:rsidRPr="00E51BF5" w:rsidRDefault="008027E9" w:rsidP="001833F6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0476AF4A" w14:textId="77777777" w:rsidR="008027E9" w:rsidRPr="00E51BF5" w:rsidRDefault="00DF4548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582F5BB5" w14:textId="77777777" w:rsidR="008027E9" w:rsidRPr="00E51BF5" w:rsidRDefault="008027E9" w:rsidP="001833F6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2BDE26F1" w14:textId="77777777" w:rsidR="001E4C42" w:rsidRPr="00E51BF5" w:rsidRDefault="004B79E4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</w:tr>
      <w:tr w:rsidR="008027E9" w:rsidRPr="00E51BF5" w14:paraId="6183333C" w14:textId="77777777" w:rsidTr="00DF4548">
        <w:tc>
          <w:tcPr>
            <w:tcW w:w="9662" w:type="dxa"/>
            <w:gridSpan w:val="5"/>
            <w:shd w:val="clear" w:color="auto" w:fill="auto"/>
          </w:tcPr>
          <w:p w14:paraId="0A4F09F1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153D08B1" w14:textId="77777777" w:rsidR="008027E9" w:rsidRPr="00E51BF5" w:rsidRDefault="008027E9" w:rsidP="001833F6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5B9A5BBB" w14:textId="77777777" w:rsidTr="00DF4548">
        <w:tc>
          <w:tcPr>
            <w:tcW w:w="9662" w:type="dxa"/>
            <w:gridSpan w:val="5"/>
            <w:shd w:val="clear" w:color="auto" w:fill="auto"/>
          </w:tcPr>
          <w:p w14:paraId="015162D6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2A495DA5" w14:textId="77777777" w:rsidR="00DF4548" w:rsidRPr="00E51BF5" w:rsidRDefault="00CF2D9F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DF4548" w:rsidRPr="00E51BF5" w14:paraId="028FF6F4" w14:textId="77777777" w:rsidTr="00DF4548">
        <w:tc>
          <w:tcPr>
            <w:tcW w:w="9662" w:type="dxa"/>
            <w:gridSpan w:val="5"/>
            <w:shd w:val="clear" w:color="auto" w:fill="auto"/>
          </w:tcPr>
          <w:p w14:paraId="4BBE03A4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539E7F8C" w14:textId="77777777" w:rsidR="00DF4548" w:rsidRPr="00E51BF5" w:rsidRDefault="00CF2D9F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DF4548" w:rsidRPr="00E51BF5" w14:paraId="480EDF12" w14:textId="77777777" w:rsidTr="00DF4548">
        <w:tc>
          <w:tcPr>
            <w:tcW w:w="9662" w:type="dxa"/>
            <w:gridSpan w:val="5"/>
            <w:shd w:val="clear" w:color="auto" w:fill="auto"/>
          </w:tcPr>
          <w:p w14:paraId="6801A0FE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218A0C84" w14:textId="77777777" w:rsidR="00DF4548" w:rsidRPr="00E51BF5" w:rsidRDefault="00456D22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5ED75581" w14:textId="77777777" w:rsidTr="00DF4548">
        <w:tc>
          <w:tcPr>
            <w:tcW w:w="9662" w:type="dxa"/>
            <w:gridSpan w:val="5"/>
            <w:shd w:val="clear" w:color="auto" w:fill="auto"/>
          </w:tcPr>
          <w:p w14:paraId="7D909B70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2FA81917" w14:textId="77777777" w:rsidR="00DF4548" w:rsidRPr="00E51BF5" w:rsidRDefault="00456D22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660651F1" w14:textId="77777777" w:rsidTr="00DF4548">
        <w:tc>
          <w:tcPr>
            <w:tcW w:w="9662" w:type="dxa"/>
            <w:gridSpan w:val="5"/>
            <w:shd w:val="clear" w:color="auto" w:fill="auto"/>
          </w:tcPr>
          <w:p w14:paraId="05F82104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1B174031" w14:textId="77777777" w:rsidR="00DF4548" w:rsidRPr="00E51BF5" w:rsidRDefault="00456D22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44290E08" w14:textId="77777777" w:rsidTr="00DF4548">
        <w:tc>
          <w:tcPr>
            <w:tcW w:w="9662" w:type="dxa"/>
            <w:gridSpan w:val="5"/>
            <w:shd w:val="clear" w:color="auto" w:fill="auto"/>
          </w:tcPr>
          <w:p w14:paraId="1B8288F5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79CCE2E3" w14:textId="77777777" w:rsidR="00DF4548" w:rsidRPr="00E51BF5" w:rsidRDefault="00456D22" w:rsidP="001833F6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27FA49D1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760C3493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4D49EC47" w14:textId="77777777" w:rsidR="00DF4548" w:rsidRPr="00FC3E41" w:rsidRDefault="00CF2D9F" w:rsidP="001833F6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DF4548" w:rsidRPr="00E51BF5" w14:paraId="7C00978F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7EEB197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2B1FBF74" w14:textId="77777777" w:rsidR="00DF4548" w:rsidRPr="00FC3E41" w:rsidRDefault="00CF2D9F" w:rsidP="001833F6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</w:tr>
      <w:tr w:rsidR="00DF4548" w:rsidRPr="00E51BF5" w14:paraId="44C54A4D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3DC341A9" w14:textId="77777777" w:rsidR="00DF4548" w:rsidRPr="00E51BF5" w:rsidRDefault="00DF454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06BABBDA" w14:textId="77777777" w:rsidR="00DF4548" w:rsidRPr="00FC3E41" w:rsidRDefault="00CF2D9F" w:rsidP="001833F6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5FC036F9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</w:p>
    <w:p w14:paraId="6C09E7D7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2A004A52" w14:textId="77777777" w:rsidTr="003B7840">
        <w:tc>
          <w:tcPr>
            <w:tcW w:w="3888" w:type="dxa"/>
          </w:tcPr>
          <w:p w14:paraId="531006D6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28E31097" w14:textId="77777777" w:rsidR="008027E9" w:rsidRPr="00E51BF5" w:rsidRDefault="004B79E4" w:rsidP="001833F6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51BF5" w14:paraId="3AC23010" w14:textId="77777777" w:rsidTr="003B7840">
        <w:tc>
          <w:tcPr>
            <w:tcW w:w="3888" w:type="dxa"/>
          </w:tcPr>
          <w:p w14:paraId="683000FB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14A28B2E" w14:textId="77777777" w:rsidR="008027E9" w:rsidRPr="00E51BF5" w:rsidRDefault="004B79E4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</w:tbl>
    <w:p w14:paraId="46BAB32C" w14:textId="77777777" w:rsidR="009D4FD8" w:rsidRPr="00E51BF5" w:rsidRDefault="009D4FD8" w:rsidP="001833F6">
      <w:pPr>
        <w:spacing w:after="0" w:line="240" w:lineRule="auto"/>
        <w:contextualSpacing/>
        <w:rPr>
          <w:b/>
          <w:szCs w:val="24"/>
          <w:lang w:val="ro-RO"/>
        </w:rPr>
      </w:pPr>
    </w:p>
    <w:p w14:paraId="03788544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23517162" w14:textId="77777777" w:rsidTr="003B7840">
        <w:tc>
          <w:tcPr>
            <w:tcW w:w="3896" w:type="dxa"/>
          </w:tcPr>
          <w:p w14:paraId="419D32DB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6B4DB64" w14:textId="77777777" w:rsidR="008027E9" w:rsidRPr="00E51BF5" w:rsidRDefault="003B7840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1DD5DE7E" w14:textId="77777777" w:rsidTr="003B7840">
        <w:tc>
          <w:tcPr>
            <w:tcW w:w="3896" w:type="dxa"/>
          </w:tcPr>
          <w:p w14:paraId="06777F37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315826D1" w14:textId="77777777" w:rsidR="008027E9" w:rsidRPr="00E51BF5" w:rsidRDefault="00ED4EF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30C554F3" w14:textId="77777777" w:rsidR="00ED4EFF" w:rsidRPr="00E51BF5" w:rsidRDefault="00ED4EFF" w:rsidP="001833F6">
      <w:pPr>
        <w:spacing w:after="0" w:line="240" w:lineRule="auto"/>
        <w:contextualSpacing/>
        <w:rPr>
          <w:b/>
          <w:szCs w:val="24"/>
          <w:lang w:val="ro-RO"/>
        </w:rPr>
      </w:pPr>
    </w:p>
    <w:p w14:paraId="1D58CB91" w14:textId="77777777" w:rsidR="008027E9" w:rsidRDefault="00ED4EFF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7286329E" w14:textId="77777777" w:rsidR="00E51BF5" w:rsidRPr="00E51BF5" w:rsidRDefault="00E51BF5" w:rsidP="001833F6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086BC3B4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150D967" w14:textId="77777777" w:rsidR="00392608" w:rsidRPr="00E51BF5" w:rsidRDefault="008027E9" w:rsidP="001833F6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35B0FD97" w14:textId="77777777" w:rsidR="008027E9" w:rsidRPr="00E51BF5" w:rsidRDefault="008027E9" w:rsidP="001833F6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61FD5408" w14:textId="77777777" w:rsidR="009054DE" w:rsidRPr="009054DE" w:rsidRDefault="00392608" w:rsidP="001833F6">
            <w:pPr>
              <w:pStyle w:val="Default"/>
              <w:contextualSpacing/>
              <w:rPr>
                <w:szCs w:val="24"/>
                <w:lang w:val="it-IT"/>
              </w:rPr>
            </w:pPr>
            <w:r w:rsidRPr="009054DE">
              <w:rPr>
                <w:rFonts w:eastAsia="Times New Roman"/>
                <w:b/>
                <w:szCs w:val="24"/>
                <w:lang w:val="ro-RO"/>
              </w:rPr>
              <w:t>C1.2</w:t>
            </w:r>
            <w:r w:rsidR="009054DE" w:rsidRPr="009054DE">
              <w:rPr>
                <w:rFonts w:eastAsia="Times New Roman"/>
                <w:b/>
                <w:szCs w:val="24"/>
                <w:lang w:val="ro-RO"/>
              </w:rPr>
              <w:t>.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 </w:t>
            </w:r>
            <w:r w:rsidR="009054DE" w:rsidRPr="009054DE">
              <w:rPr>
                <w:szCs w:val="24"/>
                <w:lang w:val="it-IT"/>
              </w:rPr>
              <w:t xml:space="preserve">Utilizarea adecvată a terminologiei de afaceri în limba străină în situaţii proprii domeniului economic. </w:t>
            </w:r>
          </w:p>
          <w:p w14:paraId="4E8DB05D" w14:textId="77777777" w:rsidR="009054DE" w:rsidRPr="009054DE" w:rsidRDefault="00392608" w:rsidP="001833F6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9054DE">
              <w:rPr>
                <w:rFonts w:ascii="Times New Roman" w:hAnsi="Times New Roman"/>
                <w:b/>
                <w:szCs w:val="24"/>
                <w:lang w:val="ro-RO"/>
              </w:rPr>
              <w:t>C5.2</w:t>
            </w:r>
            <w:r w:rsidR="00CF2D9F" w:rsidRPr="009054DE">
              <w:rPr>
                <w:rFonts w:ascii="Times New Roman" w:hAnsi="Times New Roman"/>
                <w:szCs w:val="24"/>
                <w:lang w:val="ro-RO"/>
              </w:rPr>
              <w:t xml:space="preserve">C5.2. </w:t>
            </w:r>
            <w:r w:rsidR="009054DE" w:rsidRPr="009054DE">
              <w:rPr>
                <w:rFonts w:ascii="Times New Roman" w:hAnsi="Times New Roman"/>
                <w:szCs w:val="24"/>
              </w:rPr>
              <w:t>Analiza de studii de caz asupra unor entităţi economice care necesită reflecţie critică, sinteză, rezolvare de probleme, evidenţierea bunelor practici etc</w:t>
            </w:r>
          </w:p>
          <w:p w14:paraId="2CB3CA7C" w14:textId="77777777" w:rsidR="00666848" w:rsidRPr="00E51BF5" w:rsidRDefault="00CF2D9F" w:rsidP="001833F6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9054DE">
              <w:rPr>
                <w:rFonts w:ascii="Times New Roman" w:hAnsi="Times New Roman"/>
                <w:szCs w:val="24"/>
                <w:lang w:val="ro-RO"/>
              </w:rPr>
              <w:t>Utilizarea noţiunilor, conceptelor respective pentru identificarea şi interpretarea unor chestiuni care pot afecta comunicarea profesională şi instituțională, atât în scris, cât şi la nivel oral</w:t>
            </w:r>
          </w:p>
        </w:tc>
      </w:tr>
      <w:tr w:rsidR="008027E9" w:rsidRPr="00E51BF5" w14:paraId="63BDC33A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293F7CE6" w14:textId="77777777" w:rsidR="008027E9" w:rsidRPr="00E51BF5" w:rsidRDefault="008027E9" w:rsidP="001833F6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3A7595A" w14:textId="77777777" w:rsidR="00392608" w:rsidRPr="009054DE" w:rsidRDefault="00392608" w:rsidP="001833F6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szCs w:val="24"/>
                <w:lang w:val="ro-RO"/>
              </w:rPr>
            </w:pPr>
            <w:r w:rsidRPr="009054DE">
              <w:rPr>
                <w:rFonts w:eastAsia="Times New Roman"/>
                <w:b/>
                <w:szCs w:val="24"/>
                <w:lang w:val="ro-RO"/>
              </w:rPr>
              <w:t>CT1, CT2, CT3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 - conform grilei RNCIS</w:t>
            </w:r>
          </w:p>
          <w:p w14:paraId="461B8459" w14:textId="77777777" w:rsidR="00392608" w:rsidRPr="009054DE" w:rsidRDefault="00392608" w:rsidP="001833F6">
            <w:pPr>
              <w:spacing w:after="0" w:line="240" w:lineRule="auto"/>
              <w:contextualSpacing/>
              <w:jc w:val="both"/>
              <w:rPr>
                <w:rFonts w:eastAsia="Times New Roman"/>
                <w:szCs w:val="24"/>
                <w:lang w:val="ro-RO"/>
              </w:rPr>
            </w:pPr>
            <w:r w:rsidRPr="009054DE">
              <w:rPr>
                <w:rFonts w:eastAsia="Times New Roman"/>
                <w:b/>
                <w:szCs w:val="24"/>
                <w:lang w:val="ro-RO"/>
              </w:rPr>
              <w:t>CT1</w:t>
            </w:r>
            <w:r w:rsidRPr="009054DE">
              <w:rPr>
                <w:rFonts w:eastAsia="Times New Roman"/>
                <w:szCs w:val="24"/>
                <w:lang w:val="ro-RO"/>
              </w:rPr>
              <w:t>. Respectarea normelor de etică specifice domeniului</w:t>
            </w:r>
            <w:r w:rsidR="009054DE" w:rsidRPr="009054DE">
              <w:rPr>
                <w:rFonts w:eastAsia="Times New Roman"/>
                <w:szCs w:val="24"/>
                <w:lang w:val="ro-RO"/>
              </w:rPr>
              <w:t>,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 </w:t>
            </w:r>
            <w:r w:rsidR="009054DE" w:rsidRPr="009054DE">
              <w:rPr>
                <w:szCs w:val="24"/>
                <w:lang w:val="it-IT"/>
              </w:rPr>
              <w:t>aplicarea principiilor, normelor şi valorilor eticii profesionale în cadrul propriei strategii de muncă riguroasă, eficientă şi responsabilă</w:t>
            </w:r>
          </w:p>
          <w:p w14:paraId="28B11C15" w14:textId="77777777" w:rsidR="00392608" w:rsidRPr="009054DE" w:rsidRDefault="00392608" w:rsidP="001833F6">
            <w:pPr>
              <w:pStyle w:val="Default"/>
              <w:contextualSpacing/>
              <w:rPr>
                <w:szCs w:val="24"/>
                <w:lang w:val="it-IT"/>
              </w:rPr>
            </w:pPr>
            <w:r w:rsidRPr="009054DE">
              <w:rPr>
                <w:rFonts w:eastAsia="Times New Roman"/>
                <w:b/>
                <w:szCs w:val="24"/>
                <w:lang w:val="ro-RO"/>
              </w:rPr>
              <w:t>CT2.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 Aplicarea tehnicilor de rela</w:t>
            </w:r>
            <w:r w:rsidR="00850029" w:rsidRPr="009054DE">
              <w:rPr>
                <w:rFonts w:eastAsia="Times New Roman"/>
                <w:szCs w:val="24"/>
                <w:lang w:val="ro-RO"/>
              </w:rPr>
              <w:t>ț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ionare în echipă; </w:t>
            </w:r>
            <w:r w:rsidR="009054DE" w:rsidRPr="009054DE">
              <w:rPr>
                <w:szCs w:val="24"/>
                <w:lang w:val="it-IT"/>
              </w:rPr>
              <w:t>identificarea oportunităţilor de formare continuă şi valorificarea eficientă a resurselor şi tehnicilor de învăţare pentru propria dezvoltare;</w:t>
            </w:r>
          </w:p>
          <w:p w14:paraId="2D8F0BA0" w14:textId="77777777" w:rsidR="00666848" w:rsidRPr="00E51BF5" w:rsidRDefault="0039260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9054DE">
              <w:rPr>
                <w:rFonts w:eastAsia="Times New Roman"/>
                <w:b/>
                <w:szCs w:val="24"/>
                <w:lang w:val="ro-RO"/>
              </w:rPr>
              <w:t>CT3.</w:t>
            </w:r>
            <w:r w:rsidRPr="009054DE">
              <w:rPr>
                <w:rFonts w:eastAsia="Times New Roman"/>
                <w:szCs w:val="24"/>
                <w:lang w:val="ro-RO"/>
              </w:rPr>
              <w:t xml:space="preserve"> </w:t>
            </w:r>
            <w:r w:rsidR="009054DE" w:rsidRPr="009054DE">
              <w:rPr>
                <w:szCs w:val="24"/>
                <w:lang w:val="it-IT"/>
              </w:rPr>
              <w:t>Cunoaşterea, înţelegerea, analiza şi utilizarea conceptelor, teoriilor, principiilor şi a metodelor fundamentale de investigare şi prospectare specifice economiei de piaţă.</w:t>
            </w:r>
          </w:p>
        </w:tc>
      </w:tr>
    </w:tbl>
    <w:p w14:paraId="01F77A91" w14:textId="77777777" w:rsidR="00BF122D" w:rsidRPr="00E51BF5" w:rsidRDefault="00BF122D" w:rsidP="001833F6">
      <w:pPr>
        <w:spacing w:after="0" w:line="240" w:lineRule="auto"/>
        <w:contextualSpacing/>
        <w:rPr>
          <w:b/>
          <w:szCs w:val="24"/>
          <w:lang w:val="ro-RO"/>
        </w:rPr>
      </w:pPr>
    </w:p>
    <w:p w14:paraId="0E25AEC6" w14:textId="77777777" w:rsidR="008027E9" w:rsidRDefault="008027E9" w:rsidP="001833F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56AE87D8" w14:textId="77777777" w:rsidR="00E51BF5" w:rsidRPr="00E51BF5" w:rsidRDefault="00E51BF5" w:rsidP="001833F6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5A83AE5D" w14:textId="77777777" w:rsidTr="003B7840">
        <w:tc>
          <w:tcPr>
            <w:tcW w:w="3888" w:type="dxa"/>
            <w:shd w:val="clear" w:color="auto" w:fill="auto"/>
          </w:tcPr>
          <w:p w14:paraId="009E56DE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55773D9E" w14:textId="77777777" w:rsidR="008027E9" w:rsidRPr="00DD0D98" w:rsidRDefault="00DD0D98" w:rsidP="001833F6">
            <w:pPr>
              <w:numPr>
                <w:ilvl w:val="0"/>
                <w:numId w:val="18"/>
              </w:numPr>
              <w:spacing w:after="0" w:line="240" w:lineRule="auto"/>
              <w:ind w:left="223" w:hanging="223"/>
              <w:contextualSpacing/>
              <w:rPr>
                <w:szCs w:val="24"/>
                <w:lang w:val="ro-RO"/>
              </w:rPr>
            </w:pPr>
            <w:r w:rsidRPr="00DD0D98">
              <w:rPr>
                <w:szCs w:val="24"/>
                <w:lang w:val="it-IT"/>
              </w:rPr>
              <w:t>F</w:t>
            </w:r>
            <w:r w:rsidR="009054DE" w:rsidRPr="00DD0D98">
              <w:rPr>
                <w:szCs w:val="24"/>
                <w:lang w:val="it-IT"/>
              </w:rPr>
              <w:t>ormarea şi dezvoltarea deprinderilor necesare utilizării limbii moderne în general şi în scopuri profesionale, prin dezvoltarea următoarelor competenţe: lingvistică, discursivă, strategică şi socio-culturală.</w:t>
            </w:r>
          </w:p>
        </w:tc>
      </w:tr>
      <w:tr w:rsidR="008027E9" w:rsidRPr="00E51BF5" w14:paraId="5681FE70" w14:textId="77777777" w:rsidTr="003B7840">
        <w:tc>
          <w:tcPr>
            <w:tcW w:w="3888" w:type="dxa"/>
            <w:shd w:val="clear" w:color="auto" w:fill="auto"/>
          </w:tcPr>
          <w:p w14:paraId="08C51488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0BB16AB8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extragerea informaţiei relevante dintr-un material studiat;</w:t>
            </w:r>
          </w:p>
          <w:p w14:paraId="3057C8FF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identificarea unor atitudini, opinii într-un mesaj audiat;</w:t>
            </w:r>
          </w:p>
          <w:p w14:paraId="32C6A24C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iniţierea şi participarea la conversaţii pe teme cotidiene şi profesionale;</w:t>
            </w:r>
          </w:p>
          <w:p w14:paraId="094D1847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relatarea clară şi fluentă, oral şi în scris, a unor întâ</w:t>
            </w:r>
            <w:r w:rsidR="00DD0D98" w:rsidRPr="00DD0D98">
              <w:rPr>
                <w:szCs w:val="24"/>
                <w:lang w:val="it-IT"/>
              </w:rPr>
              <w:t xml:space="preserve">mplări reale sau </w:t>
            </w:r>
            <w:r w:rsidRPr="00DD0D98">
              <w:rPr>
                <w:szCs w:val="24"/>
                <w:lang w:val="it-IT"/>
              </w:rPr>
              <w:t>imaginare, situaţii cotidiene, experienţe personale;</w:t>
            </w:r>
          </w:p>
          <w:p w14:paraId="6DA90706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adaptarea vorbirii la particularităţile auditoriului/ interlocutorului (stil formal/ informal);</w:t>
            </w:r>
          </w:p>
          <w:p w14:paraId="087F69F8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redactarea unor mesaje de diferite tipuri, note, scrisori, rapoarte.</w:t>
            </w:r>
          </w:p>
          <w:p w14:paraId="1B10FB14" w14:textId="77777777" w:rsidR="009054DE" w:rsidRPr="00DD0D98" w:rsidRDefault="009054DE" w:rsidP="001833F6">
            <w:pPr>
              <w:pStyle w:val="Default"/>
              <w:numPr>
                <w:ilvl w:val="0"/>
                <w:numId w:val="40"/>
              </w:numPr>
              <w:contextualSpacing/>
              <w:rPr>
                <w:szCs w:val="24"/>
                <w:lang w:val="it-IT"/>
              </w:rPr>
            </w:pPr>
            <w:r w:rsidRPr="00DD0D98">
              <w:rPr>
                <w:szCs w:val="24"/>
                <w:lang w:val="it-IT"/>
              </w:rPr>
              <w:t>rezumarea în scris a informaţiilor lecturate sau audiate;</w:t>
            </w:r>
          </w:p>
          <w:p w14:paraId="757CF9A4" w14:textId="77777777" w:rsidR="00D24033" w:rsidRPr="00DD0D98" w:rsidRDefault="009054DE" w:rsidP="001833F6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Cs w:val="24"/>
                <w:lang w:val="ro-RO"/>
              </w:rPr>
            </w:pPr>
            <w:r w:rsidRPr="00DD0D98">
              <w:rPr>
                <w:szCs w:val="24"/>
                <w:lang w:val="it-IT"/>
              </w:rPr>
              <w:t>comunicarea eficientă într-un mediu de afaceri în care este necesară utilizarea unei limbi moderne.</w:t>
            </w:r>
          </w:p>
        </w:tc>
      </w:tr>
    </w:tbl>
    <w:p w14:paraId="540B0440" w14:textId="77777777" w:rsidR="008027E9" w:rsidRPr="00E51BF5" w:rsidRDefault="008027E9" w:rsidP="001833F6">
      <w:pPr>
        <w:spacing w:after="0" w:line="240" w:lineRule="auto"/>
        <w:contextualSpacing/>
        <w:rPr>
          <w:szCs w:val="24"/>
          <w:lang w:val="ro-RO"/>
        </w:rPr>
      </w:pPr>
    </w:p>
    <w:p w14:paraId="45AEE4DD" w14:textId="77777777" w:rsidR="008027E9" w:rsidRDefault="008027E9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618ED56A" w14:textId="77777777" w:rsidR="00E51BF5" w:rsidRPr="00E51BF5" w:rsidRDefault="00E51BF5" w:rsidP="001833F6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3"/>
        <w:gridCol w:w="2376"/>
        <w:gridCol w:w="2323"/>
      </w:tblGrid>
      <w:tr w:rsidR="00774235" w:rsidRPr="00E51BF5" w14:paraId="03F22695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3F9E2943" w14:textId="77777777" w:rsidR="00774235" w:rsidRPr="00E51BF5" w:rsidRDefault="0077423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376" w:type="dxa"/>
            <w:shd w:val="clear" w:color="auto" w:fill="auto"/>
          </w:tcPr>
          <w:p w14:paraId="31A1BC71" w14:textId="77777777" w:rsidR="00774235" w:rsidRPr="00E51BF5" w:rsidRDefault="00774235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24C7115F" w14:textId="77777777" w:rsidR="00774235" w:rsidRPr="00E51BF5" w:rsidRDefault="00774235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CF2D9F" w:rsidRPr="00E51BF5" w14:paraId="78702F5C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7BBED706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hu-HU"/>
              </w:rPr>
              <w:t xml:space="preserve">1-2 </w:t>
            </w:r>
            <w:r w:rsidRPr="00DD0D98">
              <w:rPr>
                <w:szCs w:val="24"/>
                <w:lang w:val="ro-RO"/>
              </w:rPr>
              <w:t>Course requirements, Introduction</w:t>
            </w:r>
          </w:p>
          <w:p w14:paraId="634C0A85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</w:p>
        </w:tc>
        <w:tc>
          <w:tcPr>
            <w:tcW w:w="2376" w:type="dxa"/>
            <w:vMerge w:val="restart"/>
            <w:shd w:val="clear" w:color="auto" w:fill="auto"/>
          </w:tcPr>
          <w:p w14:paraId="773C8E91" w14:textId="77777777" w:rsidR="00DD0D98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Pr="00E51BF5">
              <w:rPr>
                <w:szCs w:val="24"/>
                <w:lang w:val="ro-RO"/>
              </w:rPr>
              <w:t xml:space="preserve">problematizare, explicație, demonstrație, dezbatere, </w:t>
            </w:r>
          </w:p>
          <w:p w14:paraId="69365359" w14:textId="77777777" w:rsidR="00DD0D98" w:rsidRDefault="00DD0D98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  <w:p w14:paraId="64287524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7F22D0EC" w14:textId="77777777" w:rsidR="00CF2D9F" w:rsidRPr="00E51BF5" w:rsidRDefault="00CF2D9F" w:rsidP="001833F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75B5EEAF" w14:textId="77777777" w:rsidR="00CF2D9F" w:rsidRPr="00E51BF5" w:rsidRDefault="00CF2D9F" w:rsidP="001833F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5F92A0A4" w14:textId="77777777" w:rsidR="00CF2D9F" w:rsidRPr="00E51BF5" w:rsidRDefault="00CF2D9F" w:rsidP="001833F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1729912B" w14:textId="77777777" w:rsidR="00CF2D9F" w:rsidRPr="00E51BF5" w:rsidRDefault="00CF2D9F" w:rsidP="001833F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lastRenderedPageBreak/>
              <w:t>de grup</w:t>
            </w:r>
          </w:p>
          <w:p w14:paraId="30B2CD14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5672436B" w14:textId="77777777" w:rsidR="00CF2D9F" w:rsidRPr="00E51BF5" w:rsidRDefault="00CF2D9F" w:rsidP="001833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789140D3" w14:textId="77777777" w:rsidR="00CF2D9F" w:rsidRPr="00E51BF5" w:rsidRDefault="00CF2D9F" w:rsidP="001833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7770E080" w14:textId="77777777" w:rsidR="00CF2D9F" w:rsidRPr="00E51BF5" w:rsidRDefault="00CF2D9F" w:rsidP="001833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2323" w:type="dxa"/>
            <w:shd w:val="clear" w:color="auto" w:fill="auto"/>
          </w:tcPr>
          <w:p w14:paraId="40618676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35BE620A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02D5DC1B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3-4 </w:t>
            </w:r>
            <w:r w:rsidRPr="00DD0D98">
              <w:rPr>
                <w:szCs w:val="24"/>
                <w:lang w:val="ro-RO"/>
              </w:rPr>
              <w:t>Management. Organisational Culture</w:t>
            </w:r>
          </w:p>
          <w:p w14:paraId="616998B3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2B140145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3981704F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3D49E6E4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63C3DD37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5-6 </w:t>
            </w:r>
            <w:r w:rsidRPr="00DD0D98">
              <w:rPr>
                <w:szCs w:val="24"/>
                <w:lang w:val="ro-RO"/>
              </w:rPr>
              <w:t>Management Styles. Management by Culture</w:t>
            </w:r>
          </w:p>
          <w:p w14:paraId="6C0A8109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6A053259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46978BD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254ED590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572B98CF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7-8 </w:t>
            </w:r>
            <w:r w:rsidRPr="00DD0D98">
              <w:rPr>
                <w:szCs w:val="24"/>
                <w:lang w:val="ro-RO"/>
              </w:rPr>
              <w:t>Recruitment. CVs and application letters</w:t>
            </w:r>
          </w:p>
          <w:p w14:paraId="3E923130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0975DF2C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09FF6192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7A80B8E5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5C63BFA4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9-10 </w:t>
            </w:r>
            <w:r w:rsidRPr="00DD0D98">
              <w:rPr>
                <w:szCs w:val="24"/>
                <w:lang w:val="ro-RO"/>
              </w:rPr>
              <w:t>Business Travel</w:t>
            </w:r>
          </w:p>
          <w:p w14:paraId="79BBD79B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364B5E21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0466E58B" w14:textId="77777777" w:rsidR="00CF2D9F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7B821CD1" w14:textId="77777777" w:rsidTr="002F130C">
        <w:trPr>
          <w:trHeight w:val="20"/>
        </w:trPr>
        <w:tc>
          <w:tcPr>
            <w:tcW w:w="5983" w:type="dxa"/>
            <w:shd w:val="clear" w:color="auto" w:fill="auto"/>
          </w:tcPr>
          <w:p w14:paraId="37421A42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11-12 </w:t>
            </w:r>
            <w:r w:rsidR="00CF2D9F" w:rsidRPr="00DD0D98">
              <w:rPr>
                <w:szCs w:val="24"/>
              </w:rPr>
              <w:t xml:space="preserve">Comunicare </w:t>
            </w:r>
            <w:r>
              <w:rPr>
                <w:szCs w:val="24"/>
              </w:rPr>
              <w:t>profesională.Analiza textelor I</w:t>
            </w:r>
            <w:r w:rsidR="00CF2D9F" w:rsidRPr="00DD0D98">
              <w:rPr>
                <w:szCs w:val="24"/>
              </w:rPr>
              <w:t>.</w:t>
            </w:r>
          </w:p>
          <w:p w14:paraId="7DF6338F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6924F021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491D1381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1251610A" w14:textId="77777777" w:rsidTr="00FA66EA">
        <w:trPr>
          <w:trHeight w:val="848"/>
        </w:trPr>
        <w:tc>
          <w:tcPr>
            <w:tcW w:w="5983" w:type="dxa"/>
            <w:shd w:val="clear" w:color="auto" w:fill="auto"/>
          </w:tcPr>
          <w:p w14:paraId="49987FC7" w14:textId="77777777" w:rsidR="00CF2D9F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13-14 </w:t>
            </w:r>
            <w:r w:rsidR="00CF2D9F" w:rsidRPr="00DD0D98">
              <w:rPr>
                <w:szCs w:val="24"/>
              </w:rPr>
              <w:t>Comunicare pr</w:t>
            </w:r>
            <w:r>
              <w:rPr>
                <w:szCs w:val="24"/>
              </w:rPr>
              <w:t>ofesională. Analiza textelor II</w:t>
            </w:r>
            <w:r w:rsidR="00CF2D9F" w:rsidRPr="00DD0D98">
              <w:rPr>
                <w:szCs w:val="24"/>
              </w:rPr>
              <w:t xml:space="preserve">. </w:t>
            </w:r>
          </w:p>
          <w:p w14:paraId="7A6AC6E3" w14:textId="77777777" w:rsidR="00DD0D98" w:rsidRPr="00DD0D98" w:rsidRDefault="00DD0D98" w:rsidP="001833F6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14:paraId="6D5CEB3F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20B9C899" w14:textId="77777777" w:rsidR="00CF2D9F" w:rsidRPr="00CF2D9F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F2D9F">
              <w:rPr>
                <w:szCs w:val="24"/>
                <w:lang w:val="ro-RO"/>
              </w:rPr>
              <w:t>4 ore</w:t>
            </w:r>
          </w:p>
        </w:tc>
      </w:tr>
      <w:tr w:rsidR="00CF2D9F" w:rsidRPr="00E51BF5" w14:paraId="29340184" w14:textId="77777777" w:rsidTr="005C440D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57046CBC" w14:textId="77777777" w:rsidR="00CF2D9F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5FCC59A9" w14:textId="77777777" w:rsidR="00D469A2" w:rsidRPr="00E51BF5" w:rsidRDefault="00D469A2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  <w:p w14:paraId="3D98A1C7" w14:textId="77777777" w:rsidR="00D469A2" w:rsidRPr="00AA3242" w:rsidRDefault="00D469A2" w:rsidP="001833F6">
            <w:pPr>
              <w:pStyle w:val="Default"/>
              <w:numPr>
                <w:ilvl w:val="0"/>
                <w:numId w:val="45"/>
              </w:numPr>
              <w:contextualSpacing/>
              <w:rPr>
                <w:szCs w:val="24"/>
              </w:rPr>
            </w:pPr>
            <w:r w:rsidRPr="00AA3242">
              <w:rPr>
                <w:szCs w:val="24"/>
              </w:rPr>
              <w:t xml:space="preserve">Vince, Michael (1998). </w:t>
            </w:r>
            <w:r w:rsidRPr="00AA3242">
              <w:rPr>
                <w:i/>
                <w:iCs/>
                <w:szCs w:val="24"/>
              </w:rPr>
              <w:t>Intermediate Language Practice</w:t>
            </w:r>
            <w:r w:rsidRPr="00AA3242">
              <w:rPr>
                <w:szCs w:val="24"/>
              </w:rPr>
              <w:t>, MacMillan Heinemann</w:t>
            </w:r>
          </w:p>
          <w:p w14:paraId="23833306" w14:textId="77777777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AA3242">
              <w:rPr>
                <w:szCs w:val="24"/>
              </w:rPr>
              <w:t xml:space="preserve">Doina Butiurca, Attila Imre, Inga Druta (ed) </w:t>
            </w:r>
            <w:r w:rsidRPr="00AA3242">
              <w:rPr>
                <w:i/>
                <w:szCs w:val="24"/>
              </w:rPr>
              <w:t>Specialized languages and conceptualization</w:t>
            </w:r>
            <w:r w:rsidRPr="00AA3242">
              <w:rPr>
                <w:szCs w:val="24"/>
              </w:rPr>
              <w:t xml:space="preserve"> Saarbrücken : Lambert  Academic Publishing, 2013.</w:t>
            </w:r>
          </w:p>
          <w:p w14:paraId="7B493DF3" w14:textId="77777777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</w:rPr>
              <w:t>Steps into financial English / Mara Magda Maftei.-Iasi: Institutul European, 2012.-160 p.; 24 cm - (Universitaria ; 138.).- 978-973-611-841-8</w:t>
            </w:r>
          </w:p>
          <w:p w14:paraId="43DA8C23" w14:textId="77777777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AA3242">
              <w:rPr>
                <w:szCs w:val="24"/>
              </w:rPr>
              <w:t>Dictionar de termeni economici : roman, francez, englez, german, maghiar, rus = Dictionnaire de termes économiques = Dictionary of economic terms = Wörterbuch wirtschaftlicher Termini = Hatnyelvű gazdasági szótár = Slovar èkonomičeskih terminov.-Bucuresti : Editura Universitara, 2013-2014</w:t>
            </w:r>
          </w:p>
          <w:p w14:paraId="323EF41B" w14:textId="16F36592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</w:rPr>
              <w:t xml:space="preserve">Mark Ellis and Christine Johnson </w:t>
            </w:r>
            <w:r w:rsidRPr="00AA3242">
              <w:rPr>
                <w:i/>
                <w:szCs w:val="24"/>
              </w:rPr>
              <w:t xml:space="preserve">Teaching business </w:t>
            </w:r>
            <w:r w:rsidR="005508F1" w:rsidRPr="00AA3242">
              <w:rPr>
                <w:i/>
                <w:szCs w:val="24"/>
              </w:rPr>
              <w:t>English. -</w:t>
            </w:r>
            <w:r w:rsidRPr="00AA3242">
              <w:rPr>
                <w:szCs w:val="24"/>
              </w:rPr>
              <w:t>Oxford [etc.]: Oxford University Press, 1994.</w:t>
            </w:r>
          </w:p>
          <w:p w14:paraId="34277E09" w14:textId="6ACCE50B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</w:rPr>
              <w:t xml:space="preserve">Robert Tilley </w:t>
            </w:r>
            <w:r w:rsidRPr="00AA3242">
              <w:rPr>
                <w:i/>
                <w:szCs w:val="24"/>
              </w:rPr>
              <w:t xml:space="preserve">Üzleti </w:t>
            </w:r>
            <w:r w:rsidR="005508F1" w:rsidRPr="00AA3242">
              <w:rPr>
                <w:i/>
                <w:szCs w:val="24"/>
              </w:rPr>
              <w:t>levelezés</w:t>
            </w:r>
            <w:r w:rsidR="005508F1" w:rsidRPr="00AA3242">
              <w:rPr>
                <w:szCs w:val="24"/>
              </w:rPr>
              <w:t xml:space="preserve"> [</w:t>
            </w:r>
            <w:r w:rsidRPr="00AA3242">
              <w:rPr>
                <w:szCs w:val="24"/>
              </w:rPr>
              <w:t>ford. Gulázsi Aurélia].-Budapest: Cser Kiadó, 2002.</w:t>
            </w:r>
          </w:p>
          <w:p w14:paraId="6A1AEB05" w14:textId="2AA3358F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</w:rPr>
              <w:t xml:space="preserve">Livia </w:t>
            </w:r>
            <w:r w:rsidR="005508F1" w:rsidRPr="00AA3242">
              <w:rPr>
                <w:szCs w:val="24"/>
              </w:rPr>
              <w:t>Popa</w:t>
            </w:r>
            <w:r w:rsidR="005508F1" w:rsidRPr="00AA3242">
              <w:rPr>
                <w:i/>
                <w:szCs w:val="24"/>
              </w:rPr>
              <w:t>. -</w:t>
            </w:r>
            <w:r w:rsidRPr="00AA3242">
              <w:rPr>
                <w:i/>
                <w:szCs w:val="24"/>
              </w:rPr>
              <w:t>PR your English</w:t>
            </w:r>
            <w:r w:rsidRPr="00AA3242">
              <w:rPr>
                <w:szCs w:val="24"/>
              </w:rPr>
              <w:t>! / Malina Ciocea, Alexandrina Andrei, Bucuresti: Comunicare.ro, 2008.</w:t>
            </w:r>
          </w:p>
          <w:p w14:paraId="25B71129" w14:textId="77777777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rPr>
                <w:szCs w:val="24"/>
                <w:lang w:val="fr-FR"/>
              </w:rPr>
            </w:pPr>
            <w:r w:rsidRPr="00AA3242">
              <w:rPr>
                <w:szCs w:val="24"/>
              </w:rPr>
              <w:t xml:space="preserve">Szabó Zoltánné, Ungárné Báti Júlia </w:t>
            </w:r>
            <w:r w:rsidRPr="00AA3242">
              <w:rPr>
                <w:i/>
                <w:szCs w:val="24"/>
              </w:rPr>
              <w:t>Külkereskedelmi ismeretek angol nyelven</w:t>
            </w:r>
            <w:r w:rsidRPr="00AA3242">
              <w:rPr>
                <w:szCs w:val="24"/>
              </w:rPr>
              <w:t>.3. átdolg. kiad..-Budapest. Külkereskedelmi Főiskola, 1996.</w:t>
            </w:r>
          </w:p>
          <w:p w14:paraId="7B1A0C69" w14:textId="77777777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  <w:lang w:val="fr-FR"/>
              </w:rPr>
              <w:t>Michel Marcheteau, Jean-Pierre Berman, Michel Savio.</w:t>
            </w:r>
            <w:r w:rsidRPr="00AA3242">
              <w:rPr>
                <w:i/>
                <w:szCs w:val="24"/>
                <w:lang w:val="fr-FR"/>
              </w:rPr>
              <w:t>Engleza comerciala in 40 de lectii</w:t>
            </w:r>
            <w:r w:rsidRPr="00AA3242">
              <w:rPr>
                <w:szCs w:val="24"/>
                <w:lang w:val="fr-FR"/>
              </w:rPr>
              <w:t xml:space="preserve">  -Bucuresti : Niculescu, 2001.</w:t>
            </w:r>
          </w:p>
          <w:p w14:paraId="315B1307" w14:textId="68EF10E6" w:rsidR="00AA3242" w:rsidRPr="00AA3242" w:rsidRDefault="00AA3242" w:rsidP="001833F6">
            <w:pPr>
              <w:pStyle w:val="ListParagraph"/>
              <w:numPr>
                <w:ilvl w:val="0"/>
                <w:numId w:val="45"/>
              </w:numPr>
              <w:suppressAutoHyphens/>
              <w:spacing w:after="0" w:line="240" w:lineRule="auto"/>
              <w:rPr>
                <w:szCs w:val="24"/>
              </w:rPr>
            </w:pPr>
            <w:r w:rsidRPr="00AA3242">
              <w:rPr>
                <w:szCs w:val="24"/>
              </w:rPr>
              <w:t>Communicare in business: business issues: work book for business issues / coord. Mariana Nicolae [et al.</w:t>
            </w:r>
            <w:r w:rsidR="005508F1" w:rsidRPr="00AA3242">
              <w:rPr>
                <w:szCs w:val="24"/>
              </w:rPr>
              <w:t>]. -</w:t>
            </w:r>
            <w:r w:rsidRPr="00AA3242">
              <w:rPr>
                <w:szCs w:val="24"/>
              </w:rPr>
              <w:t>Bucuresti. Editura Cison, 2001</w:t>
            </w:r>
          </w:p>
          <w:p w14:paraId="0DF5C930" w14:textId="77777777" w:rsidR="00CF2D9F" w:rsidRPr="00CF2D9F" w:rsidRDefault="00CF2D9F" w:rsidP="001833F6">
            <w:pPr>
              <w:spacing w:after="0" w:line="240" w:lineRule="auto"/>
              <w:ind w:left="567" w:right="90" w:hanging="567"/>
              <w:contextualSpacing/>
              <w:jc w:val="both"/>
              <w:rPr>
                <w:szCs w:val="24"/>
                <w:lang w:eastAsia="ro-RO"/>
              </w:rPr>
            </w:pPr>
          </w:p>
        </w:tc>
      </w:tr>
      <w:tr w:rsidR="00CF2D9F" w:rsidRPr="00E51BF5" w14:paraId="70FC6DF8" w14:textId="77777777" w:rsidTr="00DE4521">
        <w:trPr>
          <w:trHeight w:val="20"/>
        </w:trPr>
        <w:tc>
          <w:tcPr>
            <w:tcW w:w="5983" w:type="dxa"/>
            <w:shd w:val="clear" w:color="auto" w:fill="auto"/>
          </w:tcPr>
          <w:p w14:paraId="4B2AFEF1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8.2.</w:t>
            </w:r>
            <w:r>
              <w:rPr>
                <w:szCs w:val="24"/>
                <w:lang w:val="ro-RO"/>
              </w:rPr>
              <w:t>1.</w:t>
            </w:r>
            <w:r w:rsidRPr="00E51BF5">
              <w:rPr>
                <w:szCs w:val="24"/>
                <w:lang w:val="ro-RO"/>
              </w:rPr>
              <w:t xml:space="preserve"> Seminar </w:t>
            </w:r>
            <w:r>
              <w:rPr>
                <w:szCs w:val="24"/>
                <w:lang w:val="ro-RO"/>
              </w:rPr>
              <w:t>(Engleză)</w:t>
            </w:r>
          </w:p>
        </w:tc>
        <w:tc>
          <w:tcPr>
            <w:tcW w:w="2376" w:type="dxa"/>
            <w:shd w:val="clear" w:color="auto" w:fill="auto"/>
          </w:tcPr>
          <w:p w14:paraId="4B834329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05B44D0C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BE4789" w:rsidRPr="00E51BF5" w14:paraId="35FD7CCC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1F13AE2B" w14:textId="77777777" w:rsidR="00BE4789" w:rsidRPr="00CD5087" w:rsidRDefault="00BE4789" w:rsidP="001833F6">
            <w:pPr>
              <w:pStyle w:val="ListParagraph"/>
              <w:spacing w:after="0" w:line="240" w:lineRule="auto"/>
              <w:ind w:left="644"/>
              <w:rPr>
                <w:szCs w:val="24"/>
                <w:lang w:val="ro-RO"/>
              </w:rPr>
            </w:pPr>
            <w:r w:rsidRPr="00CD5087">
              <w:rPr>
                <w:szCs w:val="24"/>
                <w:lang w:val="ro-RO"/>
              </w:rPr>
              <w:t xml:space="preserve">Analiza de texte specifice. Traducerea şi retroversiunea ca o posibilitate de însușire a </w:t>
            </w:r>
            <w:r w:rsidRPr="00F54D9D">
              <w:rPr>
                <w:bCs/>
                <w:shd w:val="clear" w:color="auto" w:fill="FFFFFF"/>
              </w:rPr>
              <w:t>limbii engleze pentru obiective specifice</w:t>
            </w:r>
            <w:r w:rsidRPr="00F54D9D">
              <w:rPr>
                <w:szCs w:val="24"/>
                <w:lang w:val="ro-RO"/>
              </w:rPr>
              <w:t>.</w:t>
            </w:r>
            <w:r>
              <w:rPr>
                <w:szCs w:val="24"/>
                <w:lang w:val="ro-RO"/>
              </w:rPr>
              <w:t xml:space="preserve"> </w:t>
            </w:r>
            <w:r w:rsidRPr="007E7E46">
              <w:rPr>
                <w:szCs w:val="24"/>
                <w:lang w:val="ro-RO"/>
              </w:rPr>
              <w:t xml:space="preserve">Traducerea unor texte </w:t>
            </w:r>
            <w:r w:rsidRPr="007E7E46">
              <w:t>specializate din domeniul</w:t>
            </w:r>
            <w:r>
              <w:t xml:space="preserve"> științelor umaniste și sociologice, managenent, </w:t>
            </w:r>
            <w:r w:rsidRPr="007E7E46">
              <w:t>resurse</w:t>
            </w:r>
            <w:r>
              <w:t xml:space="preserve"> umane, </w:t>
            </w:r>
            <w:r w:rsidRPr="007E7E46">
              <w:t>turism etc.</w:t>
            </w:r>
          </w:p>
        </w:tc>
        <w:tc>
          <w:tcPr>
            <w:tcW w:w="2376" w:type="dxa"/>
            <w:vMerge w:val="restart"/>
            <w:shd w:val="clear" w:color="auto" w:fill="auto"/>
          </w:tcPr>
          <w:p w14:paraId="510D70D3" w14:textId="77777777" w:rsidR="00BE4789" w:rsidRPr="00E51BF5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0BAE3A41" w14:textId="77777777" w:rsidR="00BE4789" w:rsidRPr="00E51BF5" w:rsidRDefault="00BE4789" w:rsidP="001833F6">
            <w:pPr>
              <w:spacing w:after="0" w:line="240" w:lineRule="auto"/>
              <w:ind w:left="5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20 ore</w:t>
            </w:r>
          </w:p>
        </w:tc>
      </w:tr>
      <w:tr w:rsidR="00BE4789" w:rsidRPr="00E51BF5" w14:paraId="1DA3EA7B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58A965E4" w14:textId="77777777" w:rsidR="00BE4789" w:rsidRPr="00CD5087" w:rsidRDefault="00BE4789" w:rsidP="001833F6">
            <w:pPr>
              <w:pStyle w:val="ListParagraph"/>
              <w:spacing w:after="0" w:line="240" w:lineRule="auto"/>
              <w:ind w:left="644"/>
              <w:rPr>
                <w:szCs w:val="24"/>
                <w:lang w:val="ro-RO"/>
              </w:rPr>
            </w:pPr>
            <w:r w:rsidRPr="00DC4760">
              <w:t>Prezentările</w:t>
            </w:r>
            <w:r>
              <w:t xml:space="preserve"> </w:t>
            </w:r>
            <w:r w:rsidRPr="00DC4760">
              <w:t>studenților</w:t>
            </w:r>
            <w:r>
              <w:t xml:space="preserve"> </w:t>
            </w:r>
            <w:r w:rsidRPr="00DC4760">
              <w:t>pe</w:t>
            </w:r>
            <w:r>
              <w:t xml:space="preserve"> </w:t>
            </w:r>
            <w:r w:rsidRPr="00DC4760">
              <w:t>teme</w:t>
            </w:r>
            <w:r>
              <w:t xml:space="preserve"> </w:t>
            </w:r>
            <w:r w:rsidRPr="00DC4760">
              <w:t>alese din domeniul</w:t>
            </w:r>
            <w:r>
              <w:t xml:space="preserve"> </w:t>
            </w:r>
            <w:r w:rsidRPr="00DC4760">
              <w:t>limbajelor</w:t>
            </w:r>
            <w:r>
              <w:t xml:space="preserve"> </w:t>
            </w:r>
            <w:r w:rsidRPr="00DC4760">
              <w:t>s</w:t>
            </w:r>
            <w:r>
              <w:t>pecializate.</w:t>
            </w:r>
          </w:p>
        </w:tc>
        <w:tc>
          <w:tcPr>
            <w:tcW w:w="2376" w:type="dxa"/>
            <w:vMerge/>
            <w:shd w:val="clear" w:color="auto" w:fill="auto"/>
          </w:tcPr>
          <w:p w14:paraId="75B6B61D" w14:textId="77777777" w:rsidR="00BE4789" w:rsidRPr="00E51BF5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D757203" w14:textId="77777777" w:rsidR="00BE4789" w:rsidRPr="0052738A" w:rsidRDefault="00BE4789" w:rsidP="001833F6">
            <w:pPr>
              <w:pStyle w:val="ListParagraph"/>
              <w:spacing w:after="0" w:line="240" w:lineRule="auto"/>
              <w:ind w:left="5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 ore</w:t>
            </w:r>
          </w:p>
        </w:tc>
      </w:tr>
      <w:tr w:rsidR="00BE4789" w:rsidRPr="00E51BF5" w14:paraId="29E58727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3467413C" w14:textId="77777777" w:rsidR="00BE4789" w:rsidRPr="00CD5087" w:rsidRDefault="00BE4789" w:rsidP="001833F6">
            <w:pPr>
              <w:pStyle w:val="ListParagraph"/>
              <w:spacing w:after="0" w:line="240" w:lineRule="auto"/>
              <w:ind w:left="644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Recapitulare</w:t>
            </w:r>
          </w:p>
        </w:tc>
        <w:tc>
          <w:tcPr>
            <w:tcW w:w="2376" w:type="dxa"/>
            <w:vMerge/>
            <w:shd w:val="clear" w:color="auto" w:fill="auto"/>
          </w:tcPr>
          <w:p w14:paraId="783E5863" w14:textId="77777777" w:rsidR="00BE4789" w:rsidRPr="00E51BF5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0AD1B3A5" w14:textId="77777777" w:rsidR="00BE4789" w:rsidRPr="00E51BF5" w:rsidRDefault="00BE4789" w:rsidP="001833F6">
            <w:pPr>
              <w:spacing w:after="0" w:line="240" w:lineRule="auto"/>
              <w:ind w:left="5"/>
              <w:contextualSpacing/>
              <w:jc w:val="center"/>
              <w:rPr>
                <w:lang w:val="ro-RO"/>
              </w:rPr>
            </w:pPr>
            <w:r>
              <w:rPr>
                <w:szCs w:val="24"/>
                <w:lang w:val="ro-RO"/>
              </w:rPr>
              <w:t>2 ore</w:t>
            </w:r>
          </w:p>
        </w:tc>
      </w:tr>
      <w:tr w:rsidR="00CF2D9F" w:rsidRPr="00E51BF5" w14:paraId="45885C8D" w14:textId="77777777" w:rsidTr="00FE6417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657E9E36" w14:textId="77777777" w:rsidR="00CF2D9F" w:rsidRDefault="00CF2D9F" w:rsidP="001833F6">
            <w:pPr>
              <w:spacing w:after="0" w:line="240" w:lineRule="auto"/>
              <w:ind w:left="5"/>
              <w:contextualSpacing/>
              <w:rPr>
                <w:lang w:val="ro-RO"/>
              </w:rPr>
            </w:pPr>
            <w:r>
              <w:rPr>
                <w:lang w:val="ro-RO"/>
              </w:rPr>
              <w:t>Bibliografie</w:t>
            </w:r>
          </w:p>
        </w:tc>
      </w:tr>
      <w:tr w:rsidR="00CF2D9F" w:rsidRPr="00E51BF5" w14:paraId="23ACFD50" w14:textId="77777777" w:rsidTr="00DE4521">
        <w:trPr>
          <w:trHeight w:val="20"/>
        </w:trPr>
        <w:tc>
          <w:tcPr>
            <w:tcW w:w="5983" w:type="dxa"/>
            <w:shd w:val="clear" w:color="auto" w:fill="auto"/>
          </w:tcPr>
          <w:p w14:paraId="1B536C62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8.2.</w:t>
            </w:r>
            <w:r>
              <w:rPr>
                <w:szCs w:val="24"/>
                <w:lang w:val="ro-RO"/>
              </w:rPr>
              <w:t>2.</w:t>
            </w:r>
            <w:r w:rsidRPr="00E51BF5">
              <w:rPr>
                <w:szCs w:val="24"/>
                <w:lang w:val="ro-RO"/>
              </w:rPr>
              <w:t xml:space="preserve"> Seminar </w:t>
            </w:r>
            <w:r>
              <w:rPr>
                <w:szCs w:val="24"/>
                <w:lang w:val="ro-RO"/>
              </w:rPr>
              <w:t>(Germană)</w:t>
            </w:r>
          </w:p>
        </w:tc>
        <w:tc>
          <w:tcPr>
            <w:tcW w:w="2376" w:type="dxa"/>
            <w:shd w:val="clear" w:color="auto" w:fill="auto"/>
          </w:tcPr>
          <w:p w14:paraId="6A71B94D" w14:textId="77777777" w:rsidR="00CF2D9F" w:rsidRPr="00E51BF5" w:rsidRDefault="00CF2D9F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shd w:val="clear" w:color="auto" w:fill="auto"/>
          </w:tcPr>
          <w:p w14:paraId="27DEA6AD" w14:textId="77777777" w:rsidR="00CF2D9F" w:rsidRPr="00E51BF5" w:rsidRDefault="00CF2D9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BE4789" w:rsidRPr="00BE4789" w14:paraId="3DEE8742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3E7E9DF6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1.Introducere, noțiuni de bază</w:t>
            </w:r>
          </w:p>
        </w:tc>
        <w:tc>
          <w:tcPr>
            <w:tcW w:w="2376" w:type="dxa"/>
            <w:vMerge w:val="restart"/>
            <w:shd w:val="clear" w:color="auto" w:fill="auto"/>
          </w:tcPr>
          <w:p w14:paraId="1A7EAD2D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t>Exerciții, fişe de lucru, activităţi interactive, discuția.</w:t>
            </w:r>
          </w:p>
        </w:tc>
        <w:tc>
          <w:tcPr>
            <w:tcW w:w="2323" w:type="dxa"/>
            <w:shd w:val="clear" w:color="auto" w:fill="auto"/>
          </w:tcPr>
          <w:p w14:paraId="08C663C7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2 ore</w:t>
            </w:r>
          </w:p>
        </w:tc>
      </w:tr>
      <w:tr w:rsidR="00BE4789" w:rsidRPr="00BE4789" w14:paraId="37514D31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02C7D123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2. Limbajul politico-administrativ</w:t>
            </w:r>
          </w:p>
        </w:tc>
        <w:tc>
          <w:tcPr>
            <w:tcW w:w="2376" w:type="dxa"/>
            <w:vMerge/>
            <w:shd w:val="clear" w:color="auto" w:fill="auto"/>
          </w:tcPr>
          <w:p w14:paraId="46AEDD3E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3D6A6FD7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4 ore</w:t>
            </w:r>
          </w:p>
        </w:tc>
      </w:tr>
      <w:tr w:rsidR="00BE4789" w:rsidRPr="00BE4789" w14:paraId="1B7A664D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450B3295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3. Denumirea instituțiilor politice și administrative</w:t>
            </w:r>
          </w:p>
        </w:tc>
        <w:tc>
          <w:tcPr>
            <w:tcW w:w="2376" w:type="dxa"/>
            <w:vMerge/>
            <w:shd w:val="clear" w:color="auto" w:fill="auto"/>
          </w:tcPr>
          <w:p w14:paraId="59A0598A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7797F40C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4 ore</w:t>
            </w:r>
          </w:p>
        </w:tc>
      </w:tr>
      <w:tr w:rsidR="00BE4789" w:rsidRPr="00BE4789" w14:paraId="2719831E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41B347DA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4. Limbajul instituțiilor UE</w:t>
            </w:r>
          </w:p>
        </w:tc>
        <w:tc>
          <w:tcPr>
            <w:tcW w:w="2376" w:type="dxa"/>
            <w:vMerge/>
            <w:shd w:val="clear" w:color="auto" w:fill="auto"/>
          </w:tcPr>
          <w:p w14:paraId="15D852A9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26E7D66B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4 ore</w:t>
            </w:r>
          </w:p>
        </w:tc>
      </w:tr>
      <w:tr w:rsidR="00BE4789" w:rsidRPr="00BE4789" w14:paraId="237D6E88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18C7CAE0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5. Analiza textelor UE</w:t>
            </w:r>
          </w:p>
        </w:tc>
        <w:tc>
          <w:tcPr>
            <w:tcW w:w="2376" w:type="dxa"/>
            <w:vMerge/>
            <w:shd w:val="clear" w:color="auto" w:fill="auto"/>
          </w:tcPr>
          <w:p w14:paraId="43BEB6F6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067DCF11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6 ore</w:t>
            </w:r>
          </w:p>
        </w:tc>
      </w:tr>
      <w:tr w:rsidR="00BE4789" w:rsidRPr="00BE4789" w14:paraId="76B1D4D1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1E062975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6. Traducerea textelor UE</w:t>
            </w:r>
          </w:p>
        </w:tc>
        <w:tc>
          <w:tcPr>
            <w:tcW w:w="2376" w:type="dxa"/>
            <w:vMerge/>
            <w:shd w:val="clear" w:color="auto" w:fill="auto"/>
          </w:tcPr>
          <w:p w14:paraId="6D711D02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2772B5B6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6 ore</w:t>
            </w:r>
          </w:p>
        </w:tc>
      </w:tr>
      <w:tr w:rsidR="00BE4789" w:rsidRPr="00BE4789" w14:paraId="78673FF0" w14:textId="77777777" w:rsidTr="00760FCC">
        <w:trPr>
          <w:trHeight w:val="20"/>
        </w:trPr>
        <w:tc>
          <w:tcPr>
            <w:tcW w:w="5983" w:type="dxa"/>
            <w:shd w:val="clear" w:color="auto" w:fill="auto"/>
          </w:tcPr>
          <w:p w14:paraId="1F3E3DA1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7. Recapitulare</w:t>
            </w:r>
          </w:p>
        </w:tc>
        <w:tc>
          <w:tcPr>
            <w:tcW w:w="2376" w:type="dxa"/>
            <w:vMerge/>
            <w:shd w:val="clear" w:color="auto" w:fill="auto"/>
          </w:tcPr>
          <w:p w14:paraId="31CF0BF3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shd w:val="clear" w:color="auto" w:fill="auto"/>
          </w:tcPr>
          <w:p w14:paraId="6F0A4789" w14:textId="77777777" w:rsidR="00BE4789" w:rsidRPr="00BE4789" w:rsidRDefault="00BE478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2 ore</w:t>
            </w:r>
          </w:p>
        </w:tc>
      </w:tr>
      <w:tr w:rsidR="00BE4789" w:rsidRPr="00BE4789" w14:paraId="10AE455B" w14:textId="77777777" w:rsidTr="00760FCC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2C0CCD0E" w14:textId="77777777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Bibliografie</w:t>
            </w:r>
          </w:p>
          <w:p w14:paraId="02235719" w14:textId="38AA9D3E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>*Várnai(Ed.). (2004)</w:t>
            </w:r>
            <w:r w:rsidR="001833F6">
              <w:rPr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Az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Európai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Unió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hivatalo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skifejezéstára: angol-magyar-francia-német,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szCs w:val="24"/>
                <w:lang w:val="ro-RO"/>
              </w:rPr>
              <w:t>Bicske, Budapest: Szak</w:t>
            </w:r>
            <w:r w:rsidR="001833F6">
              <w:rPr>
                <w:szCs w:val="24"/>
                <w:lang w:val="ro-RO"/>
              </w:rPr>
              <w:t xml:space="preserve"> </w:t>
            </w:r>
            <w:r w:rsidRPr="00BE4789">
              <w:rPr>
                <w:szCs w:val="24"/>
                <w:lang w:val="ro-RO"/>
              </w:rPr>
              <w:t>Kiadó: MorphoLogic</w:t>
            </w:r>
          </w:p>
          <w:p w14:paraId="20D118B9" w14:textId="3EA3DFC1" w:rsidR="00BE4789" w:rsidRPr="00BE4789" w:rsidRDefault="00BE478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E4789">
              <w:rPr>
                <w:szCs w:val="24"/>
                <w:lang w:val="ro-RO"/>
              </w:rPr>
              <w:t xml:space="preserve">*Molnár </w:t>
            </w:r>
            <w:r w:rsidR="001833F6">
              <w:rPr>
                <w:szCs w:val="24"/>
                <w:lang w:val="ro-RO"/>
              </w:rPr>
              <w:t>J</w:t>
            </w:r>
            <w:r w:rsidRPr="00BE4789">
              <w:rPr>
                <w:szCs w:val="24"/>
                <w:lang w:val="ro-RO"/>
              </w:rPr>
              <w:t xml:space="preserve">. (2007). </w:t>
            </w:r>
            <w:r w:rsidRPr="00BE4789">
              <w:rPr>
                <w:i/>
                <w:szCs w:val="24"/>
                <w:lang w:val="ro-RO"/>
              </w:rPr>
              <w:t>Magyar-német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szó-és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kifejezésgyűjtemény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az EU csatlakozás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i/>
                <w:szCs w:val="24"/>
                <w:lang w:val="ro-RO"/>
              </w:rPr>
              <w:t>után,</w:t>
            </w:r>
            <w:r w:rsidR="001833F6">
              <w:rPr>
                <w:i/>
                <w:szCs w:val="24"/>
                <w:lang w:val="ro-RO"/>
              </w:rPr>
              <w:t xml:space="preserve"> </w:t>
            </w:r>
            <w:r w:rsidRPr="00BE4789">
              <w:rPr>
                <w:szCs w:val="24"/>
                <w:lang w:val="ro-RO"/>
              </w:rPr>
              <w:t>Budapest: Holnap</w:t>
            </w:r>
            <w:r w:rsidR="001833F6">
              <w:rPr>
                <w:szCs w:val="24"/>
                <w:lang w:val="ro-RO"/>
              </w:rPr>
              <w:t xml:space="preserve"> </w:t>
            </w:r>
            <w:r w:rsidRPr="00BE4789">
              <w:rPr>
                <w:szCs w:val="24"/>
                <w:lang w:val="ro-RO"/>
              </w:rPr>
              <w:lastRenderedPageBreak/>
              <w:t>Kiadó</w:t>
            </w:r>
          </w:p>
        </w:tc>
      </w:tr>
    </w:tbl>
    <w:p w14:paraId="0CCF3A2A" w14:textId="77777777" w:rsidR="008027E9" w:rsidRDefault="008027E9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04F72797" w14:textId="77777777" w:rsidR="00E51BF5" w:rsidRPr="00E51BF5" w:rsidRDefault="00E51BF5" w:rsidP="001833F6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10E533BB" w14:textId="77777777" w:rsidTr="00E51BF5">
        <w:tc>
          <w:tcPr>
            <w:tcW w:w="10682" w:type="dxa"/>
          </w:tcPr>
          <w:p w14:paraId="18B68687" w14:textId="77777777" w:rsidR="000A1C05" w:rsidRPr="00FF4C07" w:rsidRDefault="000A1C05" w:rsidP="001833F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60"/>
              <w:jc w:val="both"/>
            </w:pPr>
            <w:r w:rsidRPr="00FF4C07">
              <w:t>folosirea de studii de caz reale (unde doar numele instituţiilor sunt schimbate)</w:t>
            </w:r>
            <w:r>
              <w:t xml:space="preserve">, care familiarizează studenţii </w:t>
            </w:r>
            <w:r w:rsidRPr="00FF4C07">
              <w:t>cu noţiuni şi concepte reale;</w:t>
            </w:r>
          </w:p>
          <w:p w14:paraId="2D53A523" w14:textId="77777777" w:rsidR="000A1C05" w:rsidRPr="00FF4C07" w:rsidRDefault="000A1C05" w:rsidP="001833F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60"/>
              <w:jc w:val="both"/>
            </w:pPr>
            <w:r>
              <w:t>realizarea de simulări de prezentări, conferinţe de presă, şedinţe de lucru etc., care pregătesc studenţii specific pentru munca pe care o vor desfăşura în viitor;</w:t>
            </w:r>
          </w:p>
          <w:p w14:paraId="7CF2FD1D" w14:textId="77777777" w:rsidR="006F1AC4" w:rsidRPr="000A1C05" w:rsidRDefault="000A1C05" w:rsidP="001833F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rPr>
                <w:szCs w:val="24"/>
                <w:lang w:val="ro-RO"/>
              </w:rPr>
            </w:pPr>
            <w:r>
              <w:t>redactarea de documente specifice (scrisori de intenţie, CV-uri, procese-verbale, scrisori de comandă, rapoarte de afaceri etc.) în funcţie de cerinţele pieţei muncii.</w:t>
            </w:r>
          </w:p>
        </w:tc>
      </w:tr>
    </w:tbl>
    <w:p w14:paraId="43FE3984" w14:textId="77777777" w:rsidR="00D00FBE" w:rsidRPr="00E51BF5" w:rsidRDefault="00D00FBE" w:rsidP="001833F6">
      <w:pPr>
        <w:spacing w:after="0" w:line="240" w:lineRule="auto"/>
        <w:contextualSpacing/>
        <w:rPr>
          <w:b/>
          <w:szCs w:val="24"/>
          <w:lang w:val="ro-RO"/>
        </w:rPr>
      </w:pPr>
    </w:p>
    <w:p w14:paraId="0AF159B8" w14:textId="77777777" w:rsidR="008027E9" w:rsidRDefault="008027E9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680B965F" w14:textId="370F29DF" w:rsidR="001C6FB6" w:rsidRPr="00E51BF5" w:rsidRDefault="001C6FB6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9C3B28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1F94B300" w14:textId="77777777" w:rsidR="00FE1011" w:rsidRDefault="00E51BF5" w:rsidP="001833F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26A3BD7A" w14:textId="77777777" w:rsidR="00E51BF5" w:rsidRPr="00FE1011" w:rsidRDefault="00E51BF5" w:rsidP="001833F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72A8A6D1" w14:textId="77777777" w:rsidR="00E51BF5" w:rsidRPr="00E51BF5" w:rsidRDefault="00E51BF5" w:rsidP="001833F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4B14944A" w14:textId="77777777" w:rsidR="001C6FB6" w:rsidRDefault="001C6FB6" w:rsidP="001833F6">
      <w:pPr>
        <w:spacing w:after="0" w:line="240" w:lineRule="auto"/>
        <w:contextualSpacing/>
        <w:rPr>
          <w:b/>
          <w:szCs w:val="24"/>
          <w:lang w:val="ro-RO"/>
        </w:rPr>
      </w:pPr>
    </w:p>
    <w:p w14:paraId="6F89B82A" w14:textId="77777777" w:rsidR="001C6FB6" w:rsidRPr="00E51BF5" w:rsidRDefault="001C6FB6" w:rsidP="001833F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11AE25F9" w14:textId="77777777" w:rsidTr="009B3CFF">
        <w:tc>
          <w:tcPr>
            <w:tcW w:w="2335" w:type="dxa"/>
            <w:gridSpan w:val="2"/>
          </w:tcPr>
          <w:p w14:paraId="116B28EF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570E0E19" w14:textId="77777777" w:rsidR="008027E9" w:rsidRPr="00E51BF5" w:rsidRDefault="008027E9" w:rsidP="001833F6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513FB48A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13FDFBB6" w14:textId="77777777" w:rsidR="008027E9" w:rsidRPr="00E51BF5" w:rsidRDefault="008027E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6ABEE3DE" w14:textId="77777777" w:rsidTr="009B3CFF">
        <w:trPr>
          <w:trHeight w:val="135"/>
        </w:trPr>
        <w:tc>
          <w:tcPr>
            <w:tcW w:w="2335" w:type="dxa"/>
            <w:gridSpan w:val="2"/>
          </w:tcPr>
          <w:p w14:paraId="60F3856A" w14:textId="77777777" w:rsidR="00850029" w:rsidRPr="00E51BF5" w:rsidRDefault="00850029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79522A0B" w14:textId="77777777" w:rsidR="00850029" w:rsidRPr="00E51BF5" w:rsidRDefault="009B3CFF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6023CF78" w14:textId="77777777" w:rsidR="00850029" w:rsidRPr="00E51BF5" w:rsidRDefault="009B3CFF" w:rsidP="001833F6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58DB28F3" w14:textId="77777777" w:rsidR="00850029" w:rsidRPr="00E51BF5" w:rsidRDefault="000268B9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60%</w:t>
            </w:r>
          </w:p>
        </w:tc>
      </w:tr>
      <w:tr w:rsidR="009B3CFF" w:rsidRPr="00E51BF5" w14:paraId="6A1F743E" w14:textId="77777777" w:rsidTr="009B3CFF">
        <w:trPr>
          <w:trHeight w:val="135"/>
        </w:trPr>
        <w:tc>
          <w:tcPr>
            <w:tcW w:w="717" w:type="dxa"/>
          </w:tcPr>
          <w:p w14:paraId="3838A393" w14:textId="77777777" w:rsidR="009B3CFF" w:rsidRPr="00E51BF5" w:rsidRDefault="009B3CFF" w:rsidP="001833F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6FE815C4" w14:textId="77777777" w:rsidR="009B3CFF" w:rsidRPr="00E51BF5" w:rsidRDefault="009B3CFF" w:rsidP="001833F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3597F877" w14:textId="77777777" w:rsidR="009B3CFF" w:rsidRPr="00E51BF5" w:rsidRDefault="009B3CFF" w:rsidP="001833F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2223B53D" w14:textId="77777777" w:rsidR="009B3CFF" w:rsidRDefault="009B3CFF" w:rsidP="001833F6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  <w:p w14:paraId="4EECADFD" w14:textId="77777777" w:rsidR="009B3CFF" w:rsidRPr="009B3CFF" w:rsidRDefault="009B3CFF" w:rsidP="001833F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68DBB207" w14:textId="77777777" w:rsidR="009B3CFF" w:rsidRDefault="009B3CFF" w:rsidP="001833F6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t</w:t>
            </w:r>
            <w:r w:rsidRPr="00E51BF5">
              <w:rPr>
                <w:rFonts w:eastAsia="Times New Roman"/>
                <w:lang w:val="ro-RO"/>
              </w:rPr>
              <w:t>est scris</w:t>
            </w:r>
          </w:p>
          <w:p w14:paraId="4F499EB1" w14:textId="77777777" w:rsidR="009B3CFF" w:rsidRPr="00E51BF5" w:rsidRDefault="009B3CFF" w:rsidP="001833F6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5659D892" w14:textId="77777777" w:rsidR="009B3CFF" w:rsidRDefault="009B3CF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  <w:p w14:paraId="4FD644EF" w14:textId="77777777" w:rsidR="009B3CFF" w:rsidRPr="00E51BF5" w:rsidRDefault="009B3CF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9B3CFF" w:rsidRPr="00E51BF5" w14:paraId="2377937C" w14:textId="77777777" w:rsidTr="009B3CFF">
        <w:trPr>
          <w:trHeight w:val="245"/>
        </w:trPr>
        <w:tc>
          <w:tcPr>
            <w:tcW w:w="717" w:type="dxa"/>
          </w:tcPr>
          <w:p w14:paraId="53BB4C2F" w14:textId="77777777" w:rsidR="009B3CFF" w:rsidRPr="009B3CFF" w:rsidRDefault="009B3CFF" w:rsidP="001833F6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536682DC" w14:textId="77777777" w:rsidR="009B3CFF" w:rsidRPr="00E51BF5" w:rsidRDefault="009B3CFF" w:rsidP="001833F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1EB71F52" w14:textId="77777777" w:rsidR="009B3CFF" w:rsidRPr="005F57EA" w:rsidRDefault="009B3CFF" w:rsidP="001833F6">
            <w:pPr>
              <w:spacing w:after="0" w:line="240" w:lineRule="auto"/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723947C1" w14:textId="77777777" w:rsidR="009B3CFF" w:rsidRPr="005F57EA" w:rsidRDefault="009B3CFF" w:rsidP="001833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1A82B572" w14:textId="77777777" w:rsidR="009B3CFF" w:rsidRPr="00E51BF5" w:rsidRDefault="009B3CFF" w:rsidP="001833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67CE16E4" w14:textId="77777777" w:rsidTr="00E51BF5">
        <w:tc>
          <w:tcPr>
            <w:tcW w:w="10456" w:type="dxa"/>
            <w:gridSpan w:val="5"/>
          </w:tcPr>
          <w:p w14:paraId="3D61B0F2" w14:textId="77777777" w:rsidR="00E51BF5" w:rsidRPr="00E51BF5" w:rsidRDefault="00E51BF5" w:rsidP="001833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0C524D13" w14:textId="77777777" w:rsidTr="00E51BF5">
        <w:tc>
          <w:tcPr>
            <w:tcW w:w="10456" w:type="dxa"/>
            <w:gridSpan w:val="5"/>
          </w:tcPr>
          <w:p w14:paraId="68512701" w14:textId="77777777" w:rsidR="00E51BF5" w:rsidRPr="000A1C05" w:rsidRDefault="000A1C05" w:rsidP="001833F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Cs w:val="24"/>
                <w:lang w:val="ro-RO"/>
              </w:rPr>
            </w:pPr>
            <w:r w:rsidRPr="000A1C05">
              <w:rPr>
                <w:szCs w:val="24"/>
              </w:rPr>
              <w:t xml:space="preserve">Capacitatea de a utiliza vocabularul şi noţiunile de gramatică însuşite pe parcursul semestrului pentru a comunica oral şi în scris despre tipurile de firme, organigrama instituţiilor, etica în afaceri, modul de pregătire pentru o prezentare etc.  </w:t>
            </w:r>
          </w:p>
        </w:tc>
      </w:tr>
    </w:tbl>
    <w:p w14:paraId="4C63811B" w14:textId="77777777" w:rsidR="000268B9" w:rsidRPr="00E51BF5" w:rsidRDefault="000268B9" w:rsidP="001833F6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1143B" w:rsidRPr="002A4B91" w14:paraId="3223D1BC" w14:textId="77777777" w:rsidTr="00BC5CED">
        <w:trPr>
          <w:trHeight w:val="952"/>
        </w:trPr>
        <w:tc>
          <w:tcPr>
            <w:tcW w:w="2250" w:type="dxa"/>
          </w:tcPr>
          <w:p w14:paraId="52A49147" w14:textId="77777777" w:rsidR="00B1143B" w:rsidRPr="002A4B91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E662372" w14:textId="77777777" w:rsidR="00B1143B" w:rsidRPr="002A4B91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7F6A7552" w14:textId="77777777" w:rsidR="00B1143B" w:rsidRPr="002A4B91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B1143B" w:rsidRPr="002A4B91" w14:paraId="7CD14179" w14:textId="77777777" w:rsidTr="00BC5CED">
        <w:trPr>
          <w:trHeight w:val="952"/>
        </w:trPr>
        <w:tc>
          <w:tcPr>
            <w:tcW w:w="2250" w:type="dxa"/>
          </w:tcPr>
          <w:p w14:paraId="2331F862" w14:textId="77777777" w:rsidR="00B1143B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4F128E55" w14:textId="77777777" w:rsidR="00B1143B" w:rsidRPr="002A4B91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5EB3EB4" w14:textId="77777777" w:rsidR="00B1143B" w:rsidRDefault="00B1143B" w:rsidP="001833F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0854F008" w14:textId="77777777" w:rsidR="00284E8B" w:rsidRPr="00E51BF5" w:rsidRDefault="00284E8B" w:rsidP="001833F6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908E7" w14:textId="77777777" w:rsidR="00A35854" w:rsidRDefault="00A35854" w:rsidP="00666848">
      <w:pPr>
        <w:spacing w:after="0" w:line="240" w:lineRule="auto"/>
      </w:pPr>
      <w:r>
        <w:separator/>
      </w:r>
    </w:p>
  </w:endnote>
  <w:endnote w:type="continuationSeparator" w:id="0">
    <w:p w14:paraId="3A928B6B" w14:textId="77777777" w:rsidR="00A35854" w:rsidRDefault="00A35854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D8016" w14:textId="72A56FEA" w:rsidR="00604940" w:rsidRDefault="003D41D0" w:rsidP="00B1143B">
    <w:pPr>
      <w:pStyle w:val="Footer"/>
      <w:jc w:val="center"/>
    </w:pPr>
    <w:r>
      <w:rPr>
        <w:noProof/>
      </w:rPr>
      <w:fldChar w:fldCharType="begin"/>
    </w:r>
    <w:r w:rsidR="00F0618B">
      <w:rPr>
        <w:noProof/>
      </w:rPr>
      <w:instrText xml:space="preserve"> PAGE   \* MERGEFORMAT </w:instrText>
    </w:r>
    <w:r>
      <w:rPr>
        <w:noProof/>
      </w:rPr>
      <w:fldChar w:fldCharType="separate"/>
    </w:r>
    <w:r w:rsidR="00BE4789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F96DF" w14:textId="77777777" w:rsidR="00A35854" w:rsidRDefault="00A35854" w:rsidP="00666848">
      <w:pPr>
        <w:spacing w:after="0" w:line="240" w:lineRule="auto"/>
      </w:pPr>
      <w:r>
        <w:separator/>
      </w:r>
    </w:p>
  </w:footnote>
  <w:footnote w:type="continuationSeparator" w:id="0">
    <w:p w14:paraId="02C9D8DE" w14:textId="77777777" w:rsidR="00A35854" w:rsidRDefault="00A35854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569A0" w14:textId="5423D7E3" w:rsidR="00604940" w:rsidRPr="00B1143B" w:rsidRDefault="00B1143B" w:rsidP="002A3105">
    <w:pPr>
      <w:pStyle w:val="Header"/>
      <w:jc w:val="right"/>
      <w:rPr>
        <w:sz w:val="16"/>
        <w:szCs w:val="16"/>
      </w:rPr>
    </w:pPr>
    <w:r w:rsidRPr="00B1143B">
      <w:rPr>
        <w:sz w:val="16"/>
        <w:szCs w:val="16"/>
      </w:rPr>
      <w:fldChar w:fldCharType="begin"/>
    </w:r>
    <w:r w:rsidRPr="00B1143B">
      <w:rPr>
        <w:sz w:val="16"/>
        <w:szCs w:val="16"/>
        <w:lang w:val="hu-HU"/>
      </w:rPr>
      <w:instrText xml:space="preserve"> FILENAME \* MERGEFORMAT </w:instrText>
    </w:r>
    <w:r w:rsidRPr="00B1143B">
      <w:rPr>
        <w:sz w:val="16"/>
        <w:szCs w:val="16"/>
      </w:rPr>
      <w:fldChar w:fldCharType="separate"/>
    </w:r>
    <w:r w:rsidR="00285C6F">
      <w:rPr>
        <w:noProof/>
        <w:sz w:val="16"/>
        <w:szCs w:val="16"/>
        <w:lang w:val="hu-HU"/>
      </w:rPr>
      <w:t>3.3.6 FD 3.13+06 LMOS 19-20.1 BE-KG-AK</w:t>
    </w:r>
    <w:r w:rsidRPr="00B1143B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numFmt w:val="bullet"/>
      <w:lvlText w:val="•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</w:rPr>
    </w:lvl>
    <w:lvl w:ilvl="1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2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3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4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5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6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7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numFmt w:val="bullet"/>
      <w:lvlText w:val="•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</w:rPr>
    </w:lvl>
    <w:lvl w:ilvl="1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2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3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4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5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6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7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</w:rPr>
    </w:lvl>
  </w:abstractNum>
  <w:abstractNum w:abstractNumId="2" w15:restartNumberingAfterBreak="0">
    <w:nsid w:val="00000005"/>
    <w:multiLevelType w:val="multilevel"/>
    <w:tmpl w:val="15746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A2F15"/>
    <w:multiLevelType w:val="hybridMultilevel"/>
    <w:tmpl w:val="D5720F34"/>
    <w:name w:val="WW8Num5"/>
    <w:lvl w:ilvl="0" w:tplc="CA5259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067E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C8FE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1D4BA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622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3486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FA0D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28EF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3E9B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0418000F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18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A473D"/>
    <w:multiLevelType w:val="hybridMultilevel"/>
    <w:tmpl w:val="444A5756"/>
    <w:lvl w:ilvl="0" w:tplc="BBB81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C0C8D"/>
    <w:multiLevelType w:val="hybridMultilevel"/>
    <w:tmpl w:val="EF9E466A"/>
    <w:lvl w:ilvl="0" w:tplc="BCAA50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7383F28" w:tentative="1">
      <w:start w:val="1"/>
      <w:numFmt w:val="lowerLetter"/>
      <w:lvlText w:val="%2."/>
      <w:lvlJc w:val="left"/>
      <w:pPr>
        <w:ind w:left="1440" w:hanging="360"/>
      </w:pPr>
    </w:lvl>
    <w:lvl w:ilvl="2" w:tplc="7714A216" w:tentative="1">
      <w:start w:val="1"/>
      <w:numFmt w:val="lowerRoman"/>
      <w:lvlText w:val="%3."/>
      <w:lvlJc w:val="right"/>
      <w:pPr>
        <w:ind w:left="2160" w:hanging="180"/>
      </w:pPr>
    </w:lvl>
    <w:lvl w:ilvl="3" w:tplc="965CEC36" w:tentative="1">
      <w:start w:val="1"/>
      <w:numFmt w:val="decimal"/>
      <w:lvlText w:val="%4."/>
      <w:lvlJc w:val="left"/>
      <w:pPr>
        <w:ind w:left="2880" w:hanging="360"/>
      </w:pPr>
    </w:lvl>
    <w:lvl w:ilvl="4" w:tplc="61EC1232" w:tentative="1">
      <w:start w:val="1"/>
      <w:numFmt w:val="lowerLetter"/>
      <w:lvlText w:val="%5."/>
      <w:lvlJc w:val="left"/>
      <w:pPr>
        <w:ind w:left="3600" w:hanging="360"/>
      </w:pPr>
    </w:lvl>
    <w:lvl w:ilvl="5" w:tplc="83BE9C48" w:tentative="1">
      <w:start w:val="1"/>
      <w:numFmt w:val="lowerRoman"/>
      <w:lvlText w:val="%6."/>
      <w:lvlJc w:val="right"/>
      <w:pPr>
        <w:ind w:left="4320" w:hanging="180"/>
      </w:pPr>
    </w:lvl>
    <w:lvl w:ilvl="6" w:tplc="E794C216" w:tentative="1">
      <w:start w:val="1"/>
      <w:numFmt w:val="decimal"/>
      <w:lvlText w:val="%7."/>
      <w:lvlJc w:val="left"/>
      <w:pPr>
        <w:ind w:left="5040" w:hanging="360"/>
      </w:pPr>
    </w:lvl>
    <w:lvl w:ilvl="7" w:tplc="7BB42C40" w:tentative="1">
      <w:start w:val="1"/>
      <w:numFmt w:val="lowerLetter"/>
      <w:lvlText w:val="%8."/>
      <w:lvlJc w:val="left"/>
      <w:pPr>
        <w:ind w:left="5760" w:hanging="360"/>
      </w:pPr>
    </w:lvl>
    <w:lvl w:ilvl="8" w:tplc="D9289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619A1"/>
    <w:multiLevelType w:val="hybridMultilevel"/>
    <w:tmpl w:val="C85E7700"/>
    <w:lvl w:ilvl="0" w:tplc="6E3AF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C6613"/>
    <w:multiLevelType w:val="hybridMultilevel"/>
    <w:tmpl w:val="7616C4BC"/>
    <w:lvl w:ilvl="0" w:tplc="112C1DE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1DD078B3"/>
    <w:multiLevelType w:val="hybridMultilevel"/>
    <w:tmpl w:val="9552EE40"/>
    <w:lvl w:ilvl="0" w:tplc="0409000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026AB9"/>
    <w:multiLevelType w:val="hybridMultilevel"/>
    <w:tmpl w:val="07DCF090"/>
    <w:lvl w:ilvl="0" w:tplc="040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54434"/>
    <w:multiLevelType w:val="hybridMultilevel"/>
    <w:tmpl w:val="6584E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E7C25"/>
    <w:multiLevelType w:val="hybridMultilevel"/>
    <w:tmpl w:val="EB76C772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7AC35CB"/>
    <w:multiLevelType w:val="hybridMultilevel"/>
    <w:tmpl w:val="9C06172C"/>
    <w:lvl w:ilvl="0" w:tplc="7B9A2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7811AA" w:tentative="1">
      <w:start w:val="1"/>
      <w:numFmt w:val="lowerLetter"/>
      <w:lvlText w:val="%2."/>
      <w:lvlJc w:val="left"/>
      <w:pPr>
        <w:ind w:left="1440" w:hanging="360"/>
      </w:pPr>
    </w:lvl>
    <w:lvl w:ilvl="2" w:tplc="EE42E9A4" w:tentative="1">
      <w:start w:val="1"/>
      <w:numFmt w:val="lowerRoman"/>
      <w:lvlText w:val="%3."/>
      <w:lvlJc w:val="right"/>
      <w:pPr>
        <w:ind w:left="2160" w:hanging="180"/>
      </w:pPr>
    </w:lvl>
    <w:lvl w:ilvl="3" w:tplc="DC7E56EC" w:tentative="1">
      <w:start w:val="1"/>
      <w:numFmt w:val="decimal"/>
      <w:lvlText w:val="%4."/>
      <w:lvlJc w:val="left"/>
      <w:pPr>
        <w:ind w:left="2880" w:hanging="360"/>
      </w:pPr>
    </w:lvl>
    <w:lvl w:ilvl="4" w:tplc="F0E2AA92" w:tentative="1">
      <w:start w:val="1"/>
      <w:numFmt w:val="lowerLetter"/>
      <w:lvlText w:val="%5."/>
      <w:lvlJc w:val="left"/>
      <w:pPr>
        <w:ind w:left="3600" w:hanging="360"/>
      </w:pPr>
    </w:lvl>
    <w:lvl w:ilvl="5" w:tplc="48BA9E68" w:tentative="1">
      <w:start w:val="1"/>
      <w:numFmt w:val="lowerRoman"/>
      <w:lvlText w:val="%6."/>
      <w:lvlJc w:val="right"/>
      <w:pPr>
        <w:ind w:left="4320" w:hanging="180"/>
      </w:pPr>
    </w:lvl>
    <w:lvl w:ilvl="6" w:tplc="821861C4" w:tentative="1">
      <w:start w:val="1"/>
      <w:numFmt w:val="decimal"/>
      <w:lvlText w:val="%7."/>
      <w:lvlJc w:val="left"/>
      <w:pPr>
        <w:ind w:left="5040" w:hanging="360"/>
      </w:pPr>
    </w:lvl>
    <w:lvl w:ilvl="7" w:tplc="FDE02776" w:tentative="1">
      <w:start w:val="1"/>
      <w:numFmt w:val="lowerLetter"/>
      <w:lvlText w:val="%8."/>
      <w:lvlJc w:val="left"/>
      <w:pPr>
        <w:ind w:left="5760" w:hanging="360"/>
      </w:pPr>
    </w:lvl>
    <w:lvl w:ilvl="8" w:tplc="3AF41A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9343B0"/>
    <w:multiLevelType w:val="hybridMultilevel"/>
    <w:tmpl w:val="1616A5C4"/>
    <w:lvl w:ilvl="0" w:tplc="FE1066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35CB1"/>
    <w:multiLevelType w:val="hybridMultilevel"/>
    <w:tmpl w:val="9C561DF0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90A1C"/>
    <w:multiLevelType w:val="hybridMultilevel"/>
    <w:tmpl w:val="0C20984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E1E41"/>
    <w:multiLevelType w:val="hybridMultilevel"/>
    <w:tmpl w:val="C61CD0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2C35AE"/>
    <w:multiLevelType w:val="hybridMultilevel"/>
    <w:tmpl w:val="28ACA0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F05AC5"/>
    <w:multiLevelType w:val="hybridMultilevel"/>
    <w:tmpl w:val="9C0617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7263B"/>
    <w:multiLevelType w:val="hybridMultilevel"/>
    <w:tmpl w:val="27F2BD4E"/>
    <w:lvl w:ilvl="0" w:tplc="FE10663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C73175"/>
    <w:multiLevelType w:val="hybridMultilevel"/>
    <w:tmpl w:val="7DE8BB6E"/>
    <w:lvl w:ilvl="0" w:tplc="900E15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6F037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DC7F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F1804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8412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84AD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DCBE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AC1D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A4EE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B29BE"/>
    <w:multiLevelType w:val="hybridMultilevel"/>
    <w:tmpl w:val="3764606A"/>
    <w:lvl w:ilvl="0" w:tplc="041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31752"/>
    <w:multiLevelType w:val="hybridMultilevel"/>
    <w:tmpl w:val="D730D4E2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73432B"/>
    <w:multiLevelType w:val="hybridMultilevel"/>
    <w:tmpl w:val="F026735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091070C"/>
    <w:multiLevelType w:val="hybridMultilevel"/>
    <w:tmpl w:val="455C40F4"/>
    <w:lvl w:ilvl="0" w:tplc="05B65B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9CEC4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C3AAE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12C1FD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89A13E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BA1B3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C0871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42E7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852531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07514"/>
    <w:multiLevelType w:val="hybridMultilevel"/>
    <w:tmpl w:val="C5140CB0"/>
    <w:lvl w:ilvl="0" w:tplc="04090001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EF02A7"/>
    <w:multiLevelType w:val="hybridMultilevel"/>
    <w:tmpl w:val="762CFBE2"/>
    <w:lvl w:ilvl="0" w:tplc="959E5D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21A5BE0"/>
    <w:multiLevelType w:val="hybridMultilevel"/>
    <w:tmpl w:val="B252A022"/>
    <w:lvl w:ilvl="0" w:tplc="46441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067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4CE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0E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1A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282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BC8D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A1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82D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611AE3"/>
    <w:multiLevelType w:val="hybridMultilevel"/>
    <w:tmpl w:val="1E0E7494"/>
    <w:lvl w:ilvl="0" w:tplc="04090001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60450D"/>
    <w:multiLevelType w:val="hybridMultilevel"/>
    <w:tmpl w:val="22F2F53E"/>
    <w:lvl w:ilvl="0" w:tplc="91DE63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872C4"/>
    <w:multiLevelType w:val="hybridMultilevel"/>
    <w:tmpl w:val="29448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E0563"/>
    <w:multiLevelType w:val="hybridMultilevel"/>
    <w:tmpl w:val="984E8774"/>
    <w:lvl w:ilvl="0" w:tplc="0409000F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5B13CA"/>
    <w:multiLevelType w:val="hybridMultilevel"/>
    <w:tmpl w:val="D45A3B16"/>
    <w:lvl w:ilvl="0" w:tplc="622ED6BC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33C7C"/>
    <w:multiLevelType w:val="hybridMultilevel"/>
    <w:tmpl w:val="2230F858"/>
    <w:lvl w:ilvl="0" w:tplc="0409000F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4"/>
  </w:num>
  <w:num w:numId="4">
    <w:abstractNumId w:val="42"/>
  </w:num>
  <w:num w:numId="5">
    <w:abstractNumId w:val="31"/>
  </w:num>
  <w:num w:numId="6">
    <w:abstractNumId w:val="4"/>
  </w:num>
  <w:num w:numId="7">
    <w:abstractNumId w:val="7"/>
  </w:num>
  <w:num w:numId="8">
    <w:abstractNumId w:val="26"/>
  </w:num>
  <w:num w:numId="9">
    <w:abstractNumId w:val="12"/>
  </w:num>
  <w:num w:numId="10">
    <w:abstractNumId w:val="38"/>
  </w:num>
  <w:num w:numId="11">
    <w:abstractNumId w:val="16"/>
  </w:num>
  <w:num w:numId="12">
    <w:abstractNumId w:val="18"/>
  </w:num>
  <w:num w:numId="13">
    <w:abstractNumId w:val="10"/>
  </w:num>
  <w:num w:numId="14">
    <w:abstractNumId w:val="17"/>
  </w:num>
  <w:num w:numId="15">
    <w:abstractNumId w:val="37"/>
  </w:num>
  <w:num w:numId="16">
    <w:abstractNumId w:val="9"/>
  </w:num>
  <w:num w:numId="17">
    <w:abstractNumId w:val="27"/>
  </w:num>
  <w:num w:numId="18">
    <w:abstractNumId w:val="5"/>
  </w:num>
  <w:num w:numId="19">
    <w:abstractNumId w:val="43"/>
  </w:num>
  <w:num w:numId="20">
    <w:abstractNumId w:val="30"/>
  </w:num>
  <w:num w:numId="21">
    <w:abstractNumId w:val="22"/>
  </w:num>
  <w:num w:numId="22">
    <w:abstractNumId w:val="34"/>
  </w:num>
  <w:num w:numId="23">
    <w:abstractNumId w:val="29"/>
  </w:num>
  <w:num w:numId="24">
    <w:abstractNumId w:val="33"/>
  </w:num>
  <w:num w:numId="25">
    <w:abstractNumId w:val="6"/>
  </w:num>
  <w:num w:numId="26">
    <w:abstractNumId w:val="21"/>
  </w:num>
  <w:num w:numId="27">
    <w:abstractNumId w:val="2"/>
  </w:num>
  <w:num w:numId="28">
    <w:abstractNumId w:val="36"/>
  </w:num>
  <w:num w:numId="29">
    <w:abstractNumId w:val="19"/>
  </w:num>
  <w:num w:numId="30">
    <w:abstractNumId w:val="25"/>
  </w:num>
  <w:num w:numId="31">
    <w:abstractNumId w:val="44"/>
  </w:num>
  <w:num w:numId="32">
    <w:abstractNumId w:val="35"/>
  </w:num>
  <w:num w:numId="33">
    <w:abstractNumId w:val="14"/>
  </w:num>
  <w:num w:numId="34">
    <w:abstractNumId w:val="39"/>
  </w:num>
  <w:num w:numId="35">
    <w:abstractNumId w:val="8"/>
  </w:num>
  <w:num w:numId="36">
    <w:abstractNumId w:val="40"/>
  </w:num>
  <w:num w:numId="37">
    <w:abstractNumId w:val="0"/>
  </w:num>
  <w:num w:numId="38">
    <w:abstractNumId w:val="1"/>
  </w:num>
  <w:num w:numId="39">
    <w:abstractNumId w:val="13"/>
  </w:num>
  <w:num w:numId="40">
    <w:abstractNumId w:val="20"/>
  </w:num>
  <w:num w:numId="41">
    <w:abstractNumId w:val="11"/>
  </w:num>
  <w:num w:numId="42">
    <w:abstractNumId w:val="23"/>
  </w:num>
  <w:num w:numId="43">
    <w:abstractNumId w:val="32"/>
  </w:num>
  <w:num w:numId="44">
    <w:abstractNumId w:val="4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4FBC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1C05"/>
    <w:rsid w:val="000A4AAC"/>
    <w:rsid w:val="000C58EB"/>
    <w:rsid w:val="000F0BAC"/>
    <w:rsid w:val="001138E1"/>
    <w:rsid w:val="00130AD9"/>
    <w:rsid w:val="001627E0"/>
    <w:rsid w:val="001833F6"/>
    <w:rsid w:val="001A65B4"/>
    <w:rsid w:val="001B2BA8"/>
    <w:rsid w:val="001B395E"/>
    <w:rsid w:val="001C1E01"/>
    <w:rsid w:val="001C6FB6"/>
    <w:rsid w:val="001D0B30"/>
    <w:rsid w:val="001E4C42"/>
    <w:rsid w:val="002001FD"/>
    <w:rsid w:val="0020056E"/>
    <w:rsid w:val="00202063"/>
    <w:rsid w:val="00204680"/>
    <w:rsid w:val="002047E0"/>
    <w:rsid w:val="00220472"/>
    <w:rsid w:val="0022617C"/>
    <w:rsid w:val="00226EB7"/>
    <w:rsid w:val="00237610"/>
    <w:rsid w:val="00237E01"/>
    <w:rsid w:val="00243770"/>
    <w:rsid w:val="002646AF"/>
    <w:rsid w:val="0027455B"/>
    <w:rsid w:val="00275D72"/>
    <w:rsid w:val="002812A5"/>
    <w:rsid w:val="00284E8B"/>
    <w:rsid w:val="00285C6F"/>
    <w:rsid w:val="00291777"/>
    <w:rsid w:val="00296496"/>
    <w:rsid w:val="002A3105"/>
    <w:rsid w:val="002C1636"/>
    <w:rsid w:val="002F130C"/>
    <w:rsid w:val="002F2759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A20AE"/>
    <w:rsid w:val="003B5A02"/>
    <w:rsid w:val="003B7840"/>
    <w:rsid w:val="003C00B0"/>
    <w:rsid w:val="003D41D0"/>
    <w:rsid w:val="003E7F77"/>
    <w:rsid w:val="0040409F"/>
    <w:rsid w:val="0040763F"/>
    <w:rsid w:val="0043104B"/>
    <w:rsid w:val="00435E7A"/>
    <w:rsid w:val="00450A21"/>
    <w:rsid w:val="00452DCF"/>
    <w:rsid w:val="00456D22"/>
    <w:rsid w:val="00457FAE"/>
    <w:rsid w:val="00470F45"/>
    <w:rsid w:val="004835F7"/>
    <w:rsid w:val="004966FF"/>
    <w:rsid w:val="004B79E4"/>
    <w:rsid w:val="004F0D5B"/>
    <w:rsid w:val="005078CB"/>
    <w:rsid w:val="005250D1"/>
    <w:rsid w:val="0052738A"/>
    <w:rsid w:val="00536E1A"/>
    <w:rsid w:val="005508F1"/>
    <w:rsid w:val="0055535D"/>
    <w:rsid w:val="00556C56"/>
    <w:rsid w:val="00574FD1"/>
    <w:rsid w:val="005751D2"/>
    <w:rsid w:val="00581F83"/>
    <w:rsid w:val="005A12E1"/>
    <w:rsid w:val="005F0857"/>
    <w:rsid w:val="00602EBC"/>
    <w:rsid w:val="00604940"/>
    <w:rsid w:val="00614BDA"/>
    <w:rsid w:val="0062313E"/>
    <w:rsid w:val="006254A7"/>
    <w:rsid w:val="0065170A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7F2704"/>
    <w:rsid w:val="008027E9"/>
    <w:rsid w:val="00816C94"/>
    <w:rsid w:val="008213D2"/>
    <w:rsid w:val="00827CAD"/>
    <w:rsid w:val="0083153A"/>
    <w:rsid w:val="00850029"/>
    <w:rsid w:val="008670C8"/>
    <w:rsid w:val="008712DB"/>
    <w:rsid w:val="00880709"/>
    <w:rsid w:val="00897094"/>
    <w:rsid w:val="00897E4F"/>
    <w:rsid w:val="008B1D67"/>
    <w:rsid w:val="008C07C5"/>
    <w:rsid w:val="008D1BFE"/>
    <w:rsid w:val="009054DE"/>
    <w:rsid w:val="0094691D"/>
    <w:rsid w:val="0094707C"/>
    <w:rsid w:val="009538CD"/>
    <w:rsid w:val="009565F8"/>
    <w:rsid w:val="00960D41"/>
    <w:rsid w:val="0098490E"/>
    <w:rsid w:val="009A2B4E"/>
    <w:rsid w:val="009B3CFF"/>
    <w:rsid w:val="009B4690"/>
    <w:rsid w:val="009C3B28"/>
    <w:rsid w:val="009C7D6C"/>
    <w:rsid w:val="009D4FD8"/>
    <w:rsid w:val="009E15E3"/>
    <w:rsid w:val="009E3B22"/>
    <w:rsid w:val="009E7DA2"/>
    <w:rsid w:val="00A26881"/>
    <w:rsid w:val="00A352F6"/>
    <w:rsid w:val="00A35854"/>
    <w:rsid w:val="00A44C28"/>
    <w:rsid w:val="00A5014E"/>
    <w:rsid w:val="00A54E4F"/>
    <w:rsid w:val="00A61861"/>
    <w:rsid w:val="00A637BC"/>
    <w:rsid w:val="00A868C1"/>
    <w:rsid w:val="00AA3242"/>
    <w:rsid w:val="00AB0165"/>
    <w:rsid w:val="00AB18CF"/>
    <w:rsid w:val="00AB4356"/>
    <w:rsid w:val="00AC33D3"/>
    <w:rsid w:val="00AD2F32"/>
    <w:rsid w:val="00B06E6B"/>
    <w:rsid w:val="00B07561"/>
    <w:rsid w:val="00B1143B"/>
    <w:rsid w:val="00B23337"/>
    <w:rsid w:val="00B236DC"/>
    <w:rsid w:val="00B32698"/>
    <w:rsid w:val="00B43265"/>
    <w:rsid w:val="00B7109F"/>
    <w:rsid w:val="00B96DA8"/>
    <w:rsid w:val="00BB166F"/>
    <w:rsid w:val="00BB303C"/>
    <w:rsid w:val="00BE4789"/>
    <w:rsid w:val="00BE5F89"/>
    <w:rsid w:val="00BF122D"/>
    <w:rsid w:val="00BF1283"/>
    <w:rsid w:val="00C1183D"/>
    <w:rsid w:val="00C22E24"/>
    <w:rsid w:val="00C332A4"/>
    <w:rsid w:val="00C44284"/>
    <w:rsid w:val="00C47442"/>
    <w:rsid w:val="00C73FD9"/>
    <w:rsid w:val="00C816A2"/>
    <w:rsid w:val="00C92687"/>
    <w:rsid w:val="00CD5087"/>
    <w:rsid w:val="00CE71E1"/>
    <w:rsid w:val="00CF2D9F"/>
    <w:rsid w:val="00D00FBE"/>
    <w:rsid w:val="00D22AFB"/>
    <w:rsid w:val="00D24033"/>
    <w:rsid w:val="00D469A2"/>
    <w:rsid w:val="00D7002C"/>
    <w:rsid w:val="00D74F11"/>
    <w:rsid w:val="00DA2172"/>
    <w:rsid w:val="00DD0D98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5AEB"/>
    <w:rsid w:val="00F0618B"/>
    <w:rsid w:val="00F15C49"/>
    <w:rsid w:val="00F272CA"/>
    <w:rsid w:val="00F46278"/>
    <w:rsid w:val="00F55DE0"/>
    <w:rsid w:val="00F72804"/>
    <w:rsid w:val="00F85673"/>
    <w:rsid w:val="00FA037A"/>
    <w:rsid w:val="00FB0FE7"/>
    <w:rsid w:val="00FC7D2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7459B7"/>
  <w15:docId w15:val="{DD582867-B389-4727-85C6-8B9DBCC9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customStyle="1" w:styleId="Default">
    <w:name w:val="Default"/>
    <w:rsid w:val="009054DE"/>
    <w:pPr>
      <w:widowControl w:val="0"/>
    </w:pPr>
    <w:rPr>
      <w:rFonts w:eastAsia="ヒラギノ角ゴ Pro W3"/>
      <w:color w:val="000000"/>
      <w:szCs w:val="20"/>
      <w:lang w:val="en-AU" w:eastAsia="en-GB"/>
    </w:rPr>
  </w:style>
  <w:style w:type="paragraph" w:customStyle="1" w:styleId="CM24">
    <w:name w:val="CM24"/>
    <w:next w:val="Default"/>
    <w:rsid w:val="009054DE"/>
    <w:pPr>
      <w:widowControl w:val="0"/>
    </w:pPr>
    <w:rPr>
      <w:rFonts w:eastAsia="ヒラギノ角ゴ Pro W3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14</cp:revision>
  <cp:lastPrinted>2019-11-18T19:37:00Z</cp:lastPrinted>
  <dcterms:created xsi:type="dcterms:W3CDTF">2019-11-08T20:29:00Z</dcterms:created>
  <dcterms:modified xsi:type="dcterms:W3CDTF">2019-11-18T19:37:00Z</dcterms:modified>
</cp:coreProperties>
</file>