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ABBB8" w14:textId="77777777" w:rsidR="001B04ED" w:rsidRDefault="001B04ED" w:rsidP="001B04ED">
      <w:pPr>
        <w:spacing w:after="0" w:line="240" w:lineRule="auto"/>
        <w:contextualSpacing/>
        <w:jc w:val="center"/>
        <w:rPr>
          <w:b/>
          <w:caps/>
          <w:sz w:val="28"/>
          <w:szCs w:val="28"/>
          <w:lang w:val="ro-RO"/>
        </w:rPr>
      </w:pPr>
      <w:bookmarkStart w:id="0" w:name="_GoBack"/>
      <w:bookmarkEnd w:id="0"/>
      <w:r>
        <w:rPr>
          <w:b/>
          <w:caps/>
          <w:sz w:val="28"/>
          <w:szCs w:val="28"/>
          <w:lang w:val="ro-RO"/>
        </w:rPr>
        <w:t>fișa disciplinei</w:t>
      </w:r>
    </w:p>
    <w:p w14:paraId="2BE065E0" w14:textId="77777777" w:rsidR="001B04ED" w:rsidRDefault="001B04ED" w:rsidP="001B04ED">
      <w:pPr>
        <w:spacing w:after="0" w:line="240" w:lineRule="auto"/>
        <w:contextualSpacing/>
        <w:jc w:val="center"/>
        <w:rPr>
          <w:caps/>
          <w:szCs w:val="24"/>
          <w:lang w:val="ro-RO"/>
        </w:rPr>
      </w:pPr>
    </w:p>
    <w:p w14:paraId="5AB108A8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5"/>
        <w:gridCol w:w="5871"/>
      </w:tblGrid>
      <w:tr w:rsidR="001B04ED" w14:paraId="7234FBC0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5FD68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5997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Universitatea </w:t>
            </w:r>
            <w:r w:rsidR="00740B4B">
              <w:rPr>
                <w:szCs w:val="24"/>
                <w:lang w:val="ro-RO"/>
              </w:rPr>
              <w:t>„</w:t>
            </w:r>
            <w:r>
              <w:rPr>
                <w:szCs w:val="24"/>
                <w:lang w:val="ro-RO"/>
              </w:rPr>
              <w:t>Sapientia</w:t>
            </w:r>
            <w:r w:rsidR="00740B4B">
              <w:rPr>
                <w:szCs w:val="24"/>
                <w:lang w:val="ro-RO"/>
              </w:rPr>
              <w:t>”</w:t>
            </w:r>
            <w:r>
              <w:rPr>
                <w:szCs w:val="24"/>
                <w:lang w:val="ro-RO"/>
              </w:rPr>
              <w:t xml:space="preserve"> din</w:t>
            </w:r>
            <w:r w:rsidR="00740B4B">
              <w:rPr>
                <w:szCs w:val="24"/>
                <w:lang w:val="ro-RO"/>
              </w:rPr>
              <w:t xml:space="preserve"> municipiul</w:t>
            </w:r>
            <w:r>
              <w:rPr>
                <w:szCs w:val="24"/>
                <w:lang w:val="ro-RO"/>
              </w:rPr>
              <w:t xml:space="preserve"> Cluj-Napoca</w:t>
            </w:r>
          </w:p>
        </w:tc>
      </w:tr>
      <w:tr w:rsidR="001B04ED" w14:paraId="5CBFDB23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E55D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214A" w14:textId="1BB42D9E" w:rsidR="001B04ED" w:rsidRDefault="00B4086C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1B04ED">
              <w:rPr>
                <w:szCs w:val="24"/>
                <w:lang w:val="ro-RO"/>
              </w:rPr>
              <w:t>Științe Tehnice și Umaniste Târgu-Mureș</w:t>
            </w:r>
          </w:p>
        </w:tc>
      </w:tr>
      <w:tr w:rsidR="001B04ED" w14:paraId="0132B5EE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C3F4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333F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Limbi moderne aplicate</w:t>
            </w:r>
          </w:p>
        </w:tc>
      </w:tr>
      <w:tr w:rsidR="001B04ED" w14:paraId="5E738E27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2E3A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1FFB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Licență</w:t>
            </w:r>
          </w:p>
        </w:tc>
      </w:tr>
      <w:tr w:rsidR="001B04ED" w14:paraId="67AE8EEE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4593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DAA4" w14:textId="77777777" w:rsidR="001B04ED" w:rsidRDefault="00740B4B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Traducere și i</w:t>
            </w:r>
            <w:r w:rsidR="001B04ED">
              <w:rPr>
                <w:szCs w:val="24"/>
                <w:lang w:val="ro-RO"/>
              </w:rPr>
              <w:t>nterpretare</w:t>
            </w:r>
          </w:p>
        </w:tc>
      </w:tr>
      <w:tr w:rsidR="001B04ED" w14:paraId="5CBE0414" w14:textId="77777777" w:rsidTr="001B04E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39FF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1.6. Calificarea</w:t>
            </w:r>
          </w:p>
        </w:tc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B6F0" w14:textId="77777777" w:rsidR="001B04ED" w:rsidRDefault="001B04ED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Traducător și interpret</w:t>
            </w:r>
          </w:p>
        </w:tc>
      </w:tr>
    </w:tbl>
    <w:p w14:paraId="00AF6CE1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64F09FA5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6"/>
        <w:gridCol w:w="464"/>
        <w:gridCol w:w="1565"/>
        <w:gridCol w:w="635"/>
        <w:gridCol w:w="2205"/>
        <w:gridCol w:w="558"/>
        <w:gridCol w:w="2498"/>
        <w:gridCol w:w="615"/>
      </w:tblGrid>
      <w:tr w:rsidR="001B04ED" w14:paraId="6C749F7B" w14:textId="77777777" w:rsidTr="00605774"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67B6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2.0. Departamentul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B691" w14:textId="77777777" w:rsidR="001B04ED" w:rsidRDefault="00740B4B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 xml:space="preserve">Departamentul de </w:t>
            </w:r>
            <w:r w:rsidR="001B04ED">
              <w:rPr>
                <w:b/>
                <w:szCs w:val="24"/>
                <w:lang w:val="ro-RO"/>
              </w:rPr>
              <w:t>Lingvistică Aplicată</w:t>
            </w:r>
          </w:p>
        </w:tc>
      </w:tr>
      <w:tr w:rsidR="00605774" w14:paraId="7CC586B6" w14:textId="77777777" w:rsidTr="00605774"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2479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1A48" w14:textId="77777777" w:rsidR="00605774" w:rsidRDefault="00605774" w:rsidP="00605774">
            <w:pPr>
              <w:spacing w:after="0" w:line="240" w:lineRule="auto"/>
              <w:ind w:right="-20"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Curs practic de limbă I</w:t>
            </w:r>
            <w:r w:rsidR="00ED4DEF">
              <w:rPr>
                <w:b/>
                <w:szCs w:val="24"/>
                <w:lang w:val="ro-RO"/>
              </w:rPr>
              <w:t>I</w:t>
            </w:r>
            <w:r>
              <w:rPr>
                <w:b/>
                <w:szCs w:val="24"/>
                <w:lang w:val="ro-RO"/>
              </w:rPr>
              <w:t xml:space="preserve"> G </w:t>
            </w:r>
            <w:r w:rsidR="00740B4B">
              <w:rPr>
                <w:b/>
                <w:szCs w:val="24"/>
                <w:lang w:val="ro-RO"/>
              </w:rPr>
              <w:t>(MBHB0672)</w:t>
            </w:r>
          </w:p>
          <w:p w14:paraId="2D0044AD" w14:textId="77777777" w:rsidR="00740B4B" w:rsidRDefault="00740B4B" w:rsidP="00605774">
            <w:pPr>
              <w:spacing w:after="0" w:line="240" w:lineRule="auto"/>
              <w:ind w:right="-20"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Nyelvgyakorlat II N</w:t>
            </w:r>
          </w:p>
          <w:p w14:paraId="7E5778E3" w14:textId="77777777" w:rsidR="00740B4B" w:rsidRDefault="00740B4B" w:rsidP="00605774">
            <w:pPr>
              <w:spacing w:after="0" w:line="240" w:lineRule="auto"/>
              <w:ind w:right="-20"/>
            </w:pPr>
            <w:r>
              <w:rPr>
                <w:b/>
                <w:szCs w:val="24"/>
                <w:lang w:val="ro-RO"/>
              </w:rPr>
              <w:t>Practical Language Course II G</w:t>
            </w:r>
          </w:p>
        </w:tc>
      </w:tr>
      <w:tr w:rsidR="00605774" w:rsidRPr="00152F18" w14:paraId="6397CB2E" w14:textId="77777777" w:rsidTr="00605774"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E3D6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2.2. Titularul disciplinei  / a activităților de curs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5BFD" w14:textId="77777777" w:rsidR="00605774" w:rsidRPr="00152F18" w:rsidRDefault="00605774" w:rsidP="00152F18">
            <w:pPr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605774" w14:paraId="4BEEB4DF" w14:textId="77777777" w:rsidTr="00605774"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8E7C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2.3. Titularul disciplinei  / a activităților de seminar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8FEAB" w14:textId="77777777" w:rsidR="00605774" w:rsidRDefault="000F04DF">
            <w:pPr>
              <w:spacing w:after="0" w:line="240" w:lineRule="auto"/>
              <w:contextualSpacing/>
              <w:rPr>
                <w:szCs w:val="24"/>
              </w:rPr>
            </w:pPr>
            <w:r w:rsidRPr="00152F18">
              <w:rPr>
                <w:szCs w:val="24"/>
              </w:rPr>
              <w:t>Lect. univ. dr.</w:t>
            </w:r>
            <w:r w:rsidR="00740B4B">
              <w:rPr>
                <w:szCs w:val="24"/>
              </w:rPr>
              <w:t xml:space="preserve"> </w:t>
            </w:r>
            <w:r w:rsidRPr="00152F18">
              <w:rPr>
                <w:szCs w:val="24"/>
              </w:rPr>
              <w:t>KOMMER A</w:t>
            </w:r>
            <w:r>
              <w:rPr>
                <w:szCs w:val="24"/>
              </w:rPr>
              <w:t>lois-Richard</w:t>
            </w:r>
          </w:p>
        </w:tc>
      </w:tr>
      <w:tr w:rsidR="00605774" w14:paraId="46ABE96F" w14:textId="77777777" w:rsidTr="00605774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DA52E" w14:textId="77777777" w:rsidR="00605774" w:rsidRDefault="00605774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2.4. Anul de studiu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AB33" w14:textId="77777777" w:rsidR="00605774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CD66" w14:textId="77777777" w:rsidR="00605774" w:rsidRDefault="00605774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2.5. Semestrul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7DEC" w14:textId="77777777" w:rsidR="00605774" w:rsidRDefault="00740B4B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1A599" w14:textId="77777777" w:rsidR="00605774" w:rsidRDefault="00605774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9069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DDF7" w14:textId="77777777" w:rsidR="00605774" w:rsidRDefault="00605774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340F" w14:textId="77777777" w:rsidR="00605774" w:rsidRDefault="0060577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DO</w:t>
            </w:r>
          </w:p>
        </w:tc>
      </w:tr>
    </w:tbl>
    <w:p w14:paraId="4C2713D3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123070F4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3. Timpul total estimat</w:t>
      </w:r>
      <w:r>
        <w:rPr>
          <w:szCs w:val="24"/>
          <w:lang w:val="ro-RO"/>
        </w:rPr>
        <w:t xml:space="preserve"> (ore pe semestru al activităților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5"/>
        <w:gridCol w:w="650"/>
        <w:gridCol w:w="2242"/>
        <w:gridCol w:w="561"/>
        <w:gridCol w:w="2506"/>
        <w:gridCol w:w="582"/>
      </w:tblGrid>
      <w:tr w:rsidR="001B04ED" w14:paraId="03A727B3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F84F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ED53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884F" w14:textId="77777777" w:rsidR="001B04ED" w:rsidRDefault="001B04ED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3.2.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FB8A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C9DC" w14:textId="77777777" w:rsidR="001B04ED" w:rsidRDefault="001B04ED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3.3.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9F9D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</w:tr>
      <w:tr w:rsidR="001B04ED" w14:paraId="7ED7B1DB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B374" w14:textId="77777777" w:rsidR="001B04ED" w:rsidRDefault="001B04ED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302C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E951" w14:textId="77777777" w:rsidR="001B04ED" w:rsidRDefault="001B04ED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3.5.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2A065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FF9C" w14:textId="77777777" w:rsidR="001B04ED" w:rsidRDefault="001B04ED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3.6.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D0FF" w14:textId="77777777" w:rsidR="001B04ED" w:rsidRDefault="0060577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</w:tr>
      <w:tr w:rsidR="001B04ED" w14:paraId="2DC2A6CA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F1C11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Distribuția fondului de timp: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753E" w14:textId="77777777" w:rsidR="001B04ED" w:rsidRDefault="001B04ED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1B75C4" w14:paraId="327C1245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5001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a) Studiul după manual, suport de curs, bibliografie și notițe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E7D1" w14:textId="77777777" w:rsidR="001B75C4" w:rsidRPr="00AA7971" w:rsidRDefault="00740B4B" w:rsidP="006551A9">
            <w:pPr>
              <w:spacing w:after="0" w:line="267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B75C4" w14:paraId="720C0142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B6A2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b) Documentare suplimentară în bibliotecă, pe platformele electronice de specialitate și pe teren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C4F54" w14:textId="77777777" w:rsidR="001B75C4" w:rsidRPr="00AA7971" w:rsidRDefault="00740B4B" w:rsidP="006551A9">
            <w:pPr>
              <w:spacing w:after="0" w:line="267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1B75C4" w14:paraId="176A57FE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94693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c) Pregătire seminarii/laboratoare, teme, referate, portofolii și eseuri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54A27" w14:textId="77777777" w:rsidR="001B75C4" w:rsidRPr="00814F39" w:rsidRDefault="00740B4B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</w:tr>
      <w:tr w:rsidR="001B75C4" w14:paraId="54E9EC71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69FD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d) Tutoriat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864" w14:textId="77777777" w:rsidR="001B75C4" w:rsidRPr="00814F39" w:rsidRDefault="00740B4B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1B75C4" w14:paraId="466645C7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9C45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e) Examinări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C826" w14:textId="77777777" w:rsidR="001B75C4" w:rsidRPr="00814F39" w:rsidRDefault="000915FE" w:rsidP="006551A9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</w:tr>
      <w:tr w:rsidR="001B75C4" w14:paraId="79A7F6E4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B351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03F8" w14:textId="77777777" w:rsidR="001B75C4" w:rsidRDefault="001B75C4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</w:p>
        </w:tc>
      </w:tr>
      <w:tr w:rsidR="001B75C4" w14:paraId="401DA89C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772B4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3032" w14:textId="77777777" w:rsidR="001B75C4" w:rsidRPr="00740B4B" w:rsidRDefault="00740B4B" w:rsidP="006551A9">
            <w:pPr>
              <w:spacing w:after="0" w:line="272" w:lineRule="exact"/>
              <w:ind w:right="-20"/>
              <w:jc w:val="center"/>
            </w:pPr>
            <w:r w:rsidRPr="00740B4B">
              <w:rPr>
                <w:szCs w:val="24"/>
              </w:rPr>
              <w:t>36</w:t>
            </w:r>
          </w:p>
        </w:tc>
      </w:tr>
      <w:tr w:rsidR="001B75C4" w14:paraId="59EEA6A9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3639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0278" w14:textId="77777777" w:rsidR="001B75C4" w:rsidRPr="00740B4B" w:rsidRDefault="00740B4B" w:rsidP="006551A9">
            <w:pPr>
              <w:spacing w:after="0" w:line="272" w:lineRule="exact"/>
              <w:ind w:right="-20"/>
              <w:jc w:val="center"/>
            </w:pPr>
            <w:r w:rsidRPr="00740B4B">
              <w:rPr>
                <w:szCs w:val="24"/>
              </w:rPr>
              <w:t>50</w:t>
            </w:r>
          </w:p>
        </w:tc>
      </w:tr>
      <w:tr w:rsidR="001B75C4" w14:paraId="62CADFA0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7EE8" w14:textId="77777777" w:rsidR="001B75C4" w:rsidRDefault="001B75C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5822" w14:textId="77777777" w:rsidR="001B75C4" w:rsidRPr="00740B4B" w:rsidRDefault="001B75C4" w:rsidP="006551A9">
            <w:pPr>
              <w:spacing w:after="0" w:line="272" w:lineRule="exact"/>
              <w:ind w:right="-20"/>
              <w:jc w:val="center"/>
            </w:pPr>
            <w:r w:rsidRPr="00740B4B">
              <w:rPr>
                <w:szCs w:val="24"/>
              </w:rPr>
              <w:t>2</w:t>
            </w:r>
          </w:p>
        </w:tc>
      </w:tr>
    </w:tbl>
    <w:p w14:paraId="1BF1DDB6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28D347C4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 xml:space="preserve">4. Precondiții </w:t>
      </w:r>
      <w:r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5"/>
        <w:gridCol w:w="6501"/>
      </w:tblGrid>
      <w:tr w:rsidR="001B04ED" w14:paraId="152DE690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E9F7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4.1. de curriculum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98AD" w14:textId="77777777" w:rsidR="001B04ED" w:rsidRDefault="001B04ED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1B04ED" w:rsidRPr="00112E7D" w14:paraId="341FD3BF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E141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4.2. de competențe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4445" w14:textId="77777777" w:rsidR="001B04ED" w:rsidRPr="000915FE" w:rsidRDefault="000915FE" w:rsidP="00112E7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0915FE">
              <w:rPr>
                <w:szCs w:val="24"/>
                <w:lang w:val="ro-RO"/>
              </w:rPr>
              <w:t xml:space="preserve">Cunoștințe </w:t>
            </w:r>
            <w:r w:rsidR="00112E7D">
              <w:rPr>
                <w:szCs w:val="24"/>
                <w:lang w:val="ro-RO"/>
              </w:rPr>
              <w:t xml:space="preserve">foarte </w:t>
            </w:r>
            <w:r w:rsidRPr="000915FE">
              <w:rPr>
                <w:szCs w:val="24"/>
                <w:lang w:val="ro-RO"/>
              </w:rPr>
              <w:t xml:space="preserve">bune ale limbii </w:t>
            </w:r>
            <w:r>
              <w:rPr>
                <w:szCs w:val="24"/>
                <w:lang w:val="ro-RO"/>
              </w:rPr>
              <w:t>germane</w:t>
            </w:r>
            <w:r w:rsidR="00112E7D">
              <w:rPr>
                <w:szCs w:val="24"/>
                <w:lang w:val="ro-RO"/>
              </w:rPr>
              <w:t xml:space="preserve">. </w:t>
            </w:r>
            <w:r w:rsidR="00112E7D" w:rsidRPr="00112E7D">
              <w:rPr>
                <w:szCs w:val="24"/>
                <w:lang w:val="ro-RO"/>
              </w:rPr>
              <w:t>Capacitate de înțelegere, analiză, sinteză, gândire distributivă</w:t>
            </w:r>
            <w:r w:rsidR="00112E7D">
              <w:rPr>
                <w:szCs w:val="24"/>
                <w:lang w:val="ro-RO"/>
              </w:rPr>
              <w:t xml:space="preserve">. </w:t>
            </w:r>
          </w:p>
        </w:tc>
      </w:tr>
    </w:tbl>
    <w:p w14:paraId="440B2792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p w14:paraId="7AF9D611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5. Condiții</w:t>
      </w:r>
      <w:r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8"/>
        <w:gridCol w:w="6420"/>
      </w:tblGrid>
      <w:tr w:rsidR="001B04ED" w14:paraId="45364615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35B2" w14:textId="77777777" w:rsidR="001B04ED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5.1. De desfășurare a cursului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E0AD" w14:textId="77777777" w:rsidR="001B04ED" w:rsidRPr="000915FE" w:rsidRDefault="001B04ED" w:rsidP="000915FE">
            <w:pPr>
              <w:pStyle w:val="western"/>
              <w:spacing w:after="0" w:line="240" w:lineRule="auto"/>
            </w:pPr>
          </w:p>
        </w:tc>
      </w:tr>
      <w:tr w:rsidR="001B04ED" w14:paraId="076CC200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696C" w14:textId="77777777" w:rsidR="001B04ED" w:rsidRDefault="001B04ED" w:rsidP="001B04ED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5.2. De desfășurare a seminarului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2D3F" w14:textId="77777777" w:rsidR="001B04ED" w:rsidRDefault="00112E7D" w:rsidP="001B04ED">
            <w:pPr>
              <w:spacing w:after="0" w:line="240" w:lineRule="auto"/>
              <w:contextualSpacing/>
              <w:rPr>
                <w:position w:val="-1"/>
                <w:lang w:val="ro-RO"/>
              </w:rPr>
            </w:pPr>
            <w:r>
              <w:rPr>
                <w:szCs w:val="24"/>
                <w:lang w:val="ro-RO"/>
              </w:rPr>
              <w:t>Sală curs dotată cu calculator, videoproiector, acces internet, tablă cu cretă</w:t>
            </w:r>
          </w:p>
        </w:tc>
      </w:tr>
    </w:tbl>
    <w:p w14:paraId="725B3411" w14:textId="77777777" w:rsidR="00174FA2" w:rsidRDefault="00174FA2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2FE9679D" w14:textId="77777777" w:rsidR="00174FA2" w:rsidRDefault="00174FA2">
      <w:pPr>
        <w:spacing w:after="0" w:line="240" w:lineRule="auto"/>
        <w:rPr>
          <w:b/>
          <w:szCs w:val="24"/>
          <w:lang w:val="ro-RO"/>
        </w:rPr>
      </w:pPr>
      <w:r>
        <w:rPr>
          <w:b/>
          <w:szCs w:val="24"/>
          <w:lang w:val="ro-RO"/>
        </w:rPr>
        <w:br w:type="page"/>
      </w:r>
    </w:p>
    <w:p w14:paraId="2838BA31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234BC092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6. Competențele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1B04ED" w14:paraId="3346AC8A" w14:textId="77777777" w:rsidTr="001B04ED">
        <w:trPr>
          <w:cantSplit/>
          <w:trHeight w:val="120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618E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Competențe profesionale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471E" w14:textId="77777777" w:rsidR="00112E7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C1.1 Definirea, descrierea şi explicarea principalelor concepte, teorii, metode specifice studiului limbilor A, B, C</w:t>
            </w:r>
            <w:r>
              <w:rPr>
                <w:rFonts w:ascii="Times New Roman" w:hAnsi="Times New Roman"/>
                <w:szCs w:val="24"/>
                <w:lang w:val="ro-RO"/>
              </w:rPr>
              <w:t>.</w:t>
            </w:r>
            <w:r w:rsidRPr="00112E7D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2073557E" w14:textId="77777777" w:rsidR="00112E7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C1.2 Utilizarea aparatului conceptual specific domeniului pentru explicarea fenomenelor lingvistice fundamentale specifice domeniului C2.1 Definirea, descrierea şi explicarea principalelor concepte, teorii, metode care stau la baza traducerii – interpretării, terminologiei în limbile A, B, C specifice domeniilor profesionale de aplicaţie vizate</w:t>
            </w:r>
            <w:r>
              <w:rPr>
                <w:rFonts w:ascii="Times New Roman" w:hAnsi="Times New Roman"/>
                <w:szCs w:val="24"/>
                <w:lang w:val="ro-RO"/>
              </w:rPr>
              <w:t>.</w:t>
            </w:r>
            <w:r w:rsidRPr="00112E7D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03A3858A" w14:textId="77777777" w:rsidR="001B04ED" w:rsidRDefault="00112E7D" w:rsidP="001F1D7B">
            <w:pPr>
              <w:pStyle w:val="BodyText"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112E7D">
              <w:rPr>
                <w:rFonts w:ascii="Times New Roman" w:hAnsi="Times New Roman"/>
                <w:szCs w:val="24"/>
                <w:lang w:val="ro-RO"/>
              </w:rPr>
              <w:t>C2.2 Utilizarea conceptelor, teoriilor, metodelor respective pentru explicarea unor fenomene fundamentale asociate domeniului traducerii-interpretării (analiza traducerii, compararea traducerilor, etc.) şi terminologiei specifice limbilor A, B şi</w:t>
            </w:r>
            <w:r>
              <w:rPr>
                <w:rFonts w:ascii="Times New Roman" w:hAnsi="Times New Roman"/>
                <w:szCs w:val="24"/>
                <w:lang w:val="ro-RO"/>
              </w:rPr>
              <w:t xml:space="preserve"> C.</w:t>
            </w:r>
          </w:p>
        </w:tc>
      </w:tr>
      <w:tr w:rsidR="001B04ED" w14:paraId="5AA6B401" w14:textId="77777777" w:rsidTr="001B04ED">
        <w:trPr>
          <w:cantSplit/>
          <w:trHeight w:val="177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06D2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Competențe transversale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7437" w14:textId="77777777" w:rsidR="001B75C4" w:rsidRPr="00E82B22" w:rsidRDefault="001B75C4" w:rsidP="001F1D7B">
            <w:pPr>
              <w:widowControl w:val="0"/>
              <w:suppressAutoHyphens/>
              <w:spacing w:after="0" w:line="240" w:lineRule="auto"/>
              <w:ind w:right="173"/>
              <w:jc w:val="both"/>
              <w:rPr>
                <w:szCs w:val="24"/>
                <w:lang w:val="fr-FR"/>
              </w:rPr>
            </w:pPr>
            <w:r w:rsidRPr="002A1AFF">
              <w:rPr>
                <w:szCs w:val="24"/>
                <w:lang w:val="fr-FR"/>
              </w:rPr>
              <w:t>CT1. Gestionarea optimă a sarcinilor profesionale şi deprinderea executării lor la termen, în mod riguros, eficient şi responsabil; Respectarea normelor de etică specifice domeniului (ex: confidentialitate)</w:t>
            </w:r>
            <w:r w:rsidR="001F1D7B">
              <w:rPr>
                <w:szCs w:val="24"/>
                <w:lang w:val="fr-FR"/>
              </w:rPr>
              <w:t>.</w:t>
            </w:r>
          </w:p>
          <w:p w14:paraId="0D87383A" w14:textId="77777777" w:rsidR="001B75C4" w:rsidRPr="00E82B22" w:rsidRDefault="001B75C4" w:rsidP="001F1D7B">
            <w:pPr>
              <w:widowControl w:val="0"/>
              <w:suppressAutoHyphens/>
              <w:spacing w:after="0" w:line="240" w:lineRule="auto"/>
              <w:ind w:right="173"/>
              <w:jc w:val="both"/>
              <w:rPr>
                <w:szCs w:val="24"/>
                <w:lang w:val="fr-FR"/>
              </w:rPr>
            </w:pPr>
            <w:r w:rsidRPr="00E82B22">
              <w:rPr>
                <w:szCs w:val="24"/>
                <w:lang w:val="fr-FR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  <w:r w:rsidR="001F1D7B">
              <w:rPr>
                <w:szCs w:val="24"/>
                <w:lang w:val="fr-FR"/>
              </w:rPr>
              <w:t>.</w:t>
            </w:r>
          </w:p>
          <w:p w14:paraId="1784BF2C" w14:textId="77777777" w:rsidR="001B04ED" w:rsidRDefault="001B75C4" w:rsidP="001F1D7B">
            <w:pPr>
              <w:widowControl w:val="0"/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82B22">
              <w:rPr>
                <w:szCs w:val="24"/>
                <w:lang w:val="fr-FR"/>
              </w:rPr>
              <w:t>CT3. Identificarea şi utilizarea unor metode şi tehnici eficiente de învăţare; conştientizarea motivaţiilor extrinseci şi intrinseci ale învăţării continue</w:t>
            </w:r>
            <w:r w:rsidR="001F1D7B">
              <w:rPr>
                <w:szCs w:val="24"/>
                <w:lang w:val="fr-FR"/>
              </w:rPr>
              <w:t>.</w:t>
            </w:r>
          </w:p>
        </w:tc>
      </w:tr>
    </w:tbl>
    <w:p w14:paraId="48546CF8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69E5416E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7. Obiectivele disciplinei</w:t>
      </w:r>
      <w:r>
        <w:rPr>
          <w:szCs w:val="24"/>
          <w:lang w:val="ro-RO"/>
        </w:rPr>
        <w:t xml:space="preserve"> (reieșind din grila competențelor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1B04ED" w:rsidRPr="00605774" w14:paraId="298D7753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02EA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7857" w14:textId="77777777" w:rsidR="001B04ED" w:rsidRPr="00FF7DEC" w:rsidRDefault="00112E7D" w:rsidP="00112E7D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112E7D">
              <w:rPr>
                <w:rFonts w:eastAsia="Times New Roman"/>
                <w:color w:val="000000"/>
                <w:sz w:val="22"/>
                <w:lang w:val="ro-RO"/>
              </w:rPr>
              <w:t xml:space="preserve">Familiarizarea studenţilor cu </w:t>
            </w:r>
            <w:r>
              <w:rPr>
                <w:rFonts w:eastAsia="Times New Roman"/>
                <w:color w:val="000000"/>
                <w:sz w:val="22"/>
                <w:lang w:val="ro-RO"/>
              </w:rPr>
              <w:t xml:space="preserve">aspectele și strategiile </w:t>
            </w:r>
            <w:r w:rsidRPr="00112E7D">
              <w:rPr>
                <w:rFonts w:eastAsia="Times New Roman"/>
                <w:color w:val="000000"/>
                <w:sz w:val="22"/>
                <w:lang w:val="ro-RO"/>
              </w:rPr>
              <w:t>traducerii, inclusiv problemele tehnice actuale privind traducerea modernă.</w:t>
            </w:r>
          </w:p>
        </w:tc>
      </w:tr>
      <w:tr w:rsidR="001B04ED" w14:paraId="37B56DE2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77D33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7.2. Obiectivele specifice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E366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Evidenţierea importanţei aspectelor lingvistice şi culturale în cadrul procesului  de traducere; </w:t>
            </w:r>
          </w:p>
          <w:p w14:paraId="0FF279AE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Identificarea de modalităţi de analiză şi evaluare a procedeelor de traducere; </w:t>
            </w:r>
          </w:p>
          <w:p w14:paraId="6432AF79" w14:textId="77777777" w:rsidR="00112E7D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color w:val="000000"/>
                <w:szCs w:val="24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 xml:space="preserve">Aplicarea şi interpretarea corectă a metodelor de traducere şi echivalare a noţiunilor de gramatică, asimilarea procedeelor de folosire a analizei contrastive;  </w:t>
            </w:r>
          </w:p>
          <w:p w14:paraId="078295B1" w14:textId="77777777" w:rsidR="001B04ED" w:rsidRPr="00FF7DEC" w:rsidRDefault="00112E7D" w:rsidP="00112E7D">
            <w:pPr>
              <w:suppressAutoHyphens/>
              <w:spacing w:after="0" w:line="240" w:lineRule="auto"/>
              <w:ind w:right="227"/>
              <w:contextualSpacing/>
              <w:jc w:val="both"/>
              <w:rPr>
                <w:rFonts w:ascii="Calibri" w:eastAsia="Times New Roman" w:hAnsi="Calibri" w:cs="Calibri"/>
                <w:color w:val="000000"/>
                <w:sz w:val="22"/>
                <w:lang w:val="ro-RO"/>
              </w:rPr>
            </w:pPr>
            <w:r w:rsidRPr="00112E7D">
              <w:rPr>
                <w:color w:val="000000"/>
                <w:szCs w:val="24"/>
                <w:lang w:val="ro-RO"/>
              </w:rPr>
              <w:t>Identificarea elementelor problematice în tehnica traducerii;</w:t>
            </w:r>
          </w:p>
        </w:tc>
      </w:tr>
    </w:tbl>
    <w:p w14:paraId="464554FD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6CDA383D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8. Conținuturi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9"/>
        <w:gridCol w:w="4127"/>
        <w:gridCol w:w="1654"/>
      </w:tblGrid>
      <w:tr w:rsidR="001B04ED" w14:paraId="3B9F66F5" w14:textId="77777777" w:rsidTr="004027BD">
        <w:trPr>
          <w:trHeight w:val="20"/>
        </w:trPr>
        <w:tc>
          <w:tcPr>
            <w:tcW w:w="4248" w:type="dxa"/>
            <w:shd w:val="clear" w:color="auto" w:fill="auto"/>
            <w:hideMark/>
          </w:tcPr>
          <w:p w14:paraId="0AAC5D32" w14:textId="77777777" w:rsidR="001B04ED" w:rsidRDefault="00F0239E" w:rsidP="00F0239E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8.2</w:t>
            </w:r>
            <w:r w:rsidR="001B04ED">
              <w:rPr>
                <w:szCs w:val="24"/>
              </w:rPr>
              <w:t xml:space="preserve">. </w:t>
            </w:r>
            <w:r>
              <w:rPr>
                <w:szCs w:val="24"/>
              </w:rPr>
              <w:t>Seminar</w:t>
            </w:r>
            <w:r w:rsidR="001B04ED">
              <w:rPr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hideMark/>
          </w:tcPr>
          <w:p w14:paraId="11800356" w14:textId="77777777" w:rsidR="001B04ED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Metode de predare</w:t>
            </w:r>
          </w:p>
        </w:tc>
        <w:tc>
          <w:tcPr>
            <w:tcW w:w="1515" w:type="dxa"/>
            <w:shd w:val="clear" w:color="auto" w:fill="auto"/>
            <w:hideMark/>
          </w:tcPr>
          <w:p w14:paraId="770CA83F" w14:textId="77777777" w:rsidR="001B04ED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Observații</w:t>
            </w:r>
          </w:p>
        </w:tc>
      </w:tr>
      <w:tr w:rsidR="001B75C4" w14:paraId="0CDF2476" w14:textId="77777777" w:rsidTr="004027BD">
        <w:trPr>
          <w:trHeight w:val="20"/>
        </w:trPr>
        <w:tc>
          <w:tcPr>
            <w:tcW w:w="4248" w:type="dxa"/>
          </w:tcPr>
          <w:p w14:paraId="6D3D9866" w14:textId="77777777" w:rsidR="001B75C4" w:rsidRPr="00E52F5D" w:rsidRDefault="00E52F5D" w:rsidP="00E52F5D">
            <w:pPr>
              <w:pStyle w:val="NoSpacing"/>
              <w:rPr>
                <w:b/>
                <w:lang w:val="de-DE"/>
              </w:rPr>
            </w:pPr>
            <w:r w:rsidRPr="00E52F5D">
              <w:rPr>
                <w:b/>
                <w:lang w:val="de-DE"/>
              </w:rPr>
              <w:t>1.</w:t>
            </w:r>
            <w:r>
              <w:rPr>
                <w:b/>
                <w:lang w:val="de-DE"/>
              </w:rPr>
              <w:t xml:space="preserve"> Einführung – zur Übersetzung von medialen Alltagstexten </w:t>
            </w:r>
          </w:p>
        </w:tc>
        <w:tc>
          <w:tcPr>
            <w:tcW w:w="3780" w:type="dxa"/>
          </w:tcPr>
          <w:p w14:paraId="6F0C6143" w14:textId="77777777" w:rsidR="001B75C4" w:rsidRPr="00971A9D" w:rsidRDefault="00B6421D" w:rsidP="00B6421D">
            <w:pPr>
              <w:spacing w:after="0" w:line="240" w:lineRule="auto"/>
              <w:jc w:val="center"/>
              <w:rPr>
                <w:szCs w:val="24"/>
                <w:lang w:val="hu-HU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48FC29DF" w14:textId="77777777" w:rsidR="001B75C4" w:rsidRPr="00882E48" w:rsidRDefault="00882E48" w:rsidP="00882E48">
            <w:pPr>
              <w:spacing w:after="0" w:line="240" w:lineRule="auto"/>
              <w:ind w:left="82" w:right="-20"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275F9D1C" w14:textId="77777777" w:rsidTr="004027BD">
        <w:trPr>
          <w:trHeight w:val="20"/>
        </w:trPr>
        <w:tc>
          <w:tcPr>
            <w:tcW w:w="4248" w:type="dxa"/>
          </w:tcPr>
          <w:p w14:paraId="67866B2D" w14:textId="77777777" w:rsidR="00882E48" w:rsidRPr="00E52F5D" w:rsidRDefault="00E52F5D" w:rsidP="00AE1516">
            <w:pPr>
              <w:pStyle w:val="NoSpacing"/>
              <w:rPr>
                <w:b/>
              </w:rPr>
            </w:pPr>
            <w:r w:rsidRPr="00E52F5D">
              <w:rPr>
                <w:b/>
              </w:rPr>
              <w:t xml:space="preserve">2. </w:t>
            </w:r>
            <w:r>
              <w:rPr>
                <w:b/>
              </w:rPr>
              <w:t>Pressetexte</w:t>
            </w:r>
          </w:p>
        </w:tc>
        <w:tc>
          <w:tcPr>
            <w:tcW w:w="3780" w:type="dxa"/>
            <w:vAlign w:val="center"/>
            <w:hideMark/>
          </w:tcPr>
          <w:p w14:paraId="2ACA92E9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3872CE42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6A5D6514" w14:textId="77777777" w:rsidTr="004027BD">
        <w:trPr>
          <w:trHeight w:val="20"/>
        </w:trPr>
        <w:tc>
          <w:tcPr>
            <w:tcW w:w="4248" w:type="dxa"/>
          </w:tcPr>
          <w:p w14:paraId="1A1AFA90" w14:textId="77777777" w:rsidR="00882E48" w:rsidRPr="00E52F5D" w:rsidRDefault="00E52F5D" w:rsidP="00AE1516">
            <w:pPr>
              <w:pStyle w:val="NoSpacing"/>
              <w:rPr>
                <w:b/>
              </w:rPr>
            </w:pPr>
            <w:r>
              <w:rPr>
                <w:b/>
              </w:rPr>
              <w:t>3. Audiomediale Texte</w:t>
            </w:r>
          </w:p>
        </w:tc>
        <w:tc>
          <w:tcPr>
            <w:tcW w:w="3780" w:type="dxa"/>
            <w:vAlign w:val="center"/>
            <w:hideMark/>
          </w:tcPr>
          <w:p w14:paraId="180B336B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00C03FD4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3D9CAB12" w14:textId="77777777" w:rsidTr="004027BD">
        <w:trPr>
          <w:trHeight w:val="20"/>
        </w:trPr>
        <w:tc>
          <w:tcPr>
            <w:tcW w:w="4248" w:type="dxa"/>
          </w:tcPr>
          <w:p w14:paraId="1BFBB1E5" w14:textId="77777777" w:rsidR="00882E48" w:rsidRPr="00E52F5D" w:rsidRDefault="00E52F5D" w:rsidP="00AE1516">
            <w:pPr>
              <w:pStyle w:val="NoSpacing"/>
              <w:rPr>
                <w:b/>
              </w:rPr>
            </w:pPr>
            <w:r w:rsidRPr="00E52F5D">
              <w:rPr>
                <w:b/>
              </w:rPr>
              <w:t xml:space="preserve">4. </w:t>
            </w:r>
            <w:r>
              <w:rPr>
                <w:b/>
              </w:rPr>
              <w:t>Bühnentexte</w:t>
            </w:r>
          </w:p>
        </w:tc>
        <w:tc>
          <w:tcPr>
            <w:tcW w:w="3780" w:type="dxa"/>
            <w:vAlign w:val="center"/>
            <w:hideMark/>
          </w:tcPr>
          <w:p w14:paraId="21E46646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52345B3A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669B5C6B" w14:textId="77777777" w:rsidTr="004027BD">
        <w:trPr>
          <w:trHeight w:val="20"/>
        </w:trPr>
        <w:tc>
          <w:tcPr>
            <w:tcW w:w="4248" w:type="dxa"/>
          </w:tcPr>
          <w:p w14:paraId="3E5B93B4" w14:textId="77777777" w:rsidR="00882E48" w:rsidRPr="00E52F5D" w:rsidRDefault="00E52F5D" w:rsidP="00AE1516">
            <w:pPr>
              <w:pStyle w:val="NoSpacing"/>
              <w:rPr>
                <w:b/>
              </w:rPr>
            </w:pPr>
            <w:r>
              <w:rPr>
                <w:b/>
              </w:rPr>
              <w:t>5. Film und Fernsehen</w:t>
            </w:r>
          </w:p>
        </w:tc>
        <w:tc>
          <w:tcPr>
            <w:tcW w:w="3780" w:type="dxa"/>
            <w:vAlign w:val="center"/>
            <w:hideMark/>
          </w:tcPr>
          <w:p w14:paraId="5A3E22C7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1CC90396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53847767" w14:textId="77777777" w:rsidTr="004027BD">
        <w:trPr>
          <w:trHeight w:val="20"/>
        </w:trPr>
        <w:tc>
          <w:tcPr>
            <w:tcW w:w="4248" w:type="dxa"/>
          </w:tcPr>
          <w:p w14:paraId="71356749" w14:textId="77777777" w:rsidR="00882E48" w:rsidRPr="00E52F5D" w:rsidRDefault="00E52F5D" w:rsidP="00AE1516">
            <w:pPr>
              <w:pStyle w:val="NoSpacing"/>
              <w:rPr>
                <w:b/>
                <w:lang w:val="de-DE"/>
              </w:rPr>
            </w:pPr>
            <w:r w:rsidRPr="00E52F5D">
              <w:rPr>
                <w:b/>
                <w:lang w:val="de-DE"/>
              </w:rPr>
              <w:t>6.</w:t>
            </w:r>
            <w:r w:rsidR="001A3ED9">
              <w:rPr>
                <w:b/>
                <w:lang w:val="de-DE"/>
              </w:rPr>
              <w:t xml:space="preserve"> </w:t>
            </w:r>
            <w:r w:rsidR="001A3ED9">
              <w:rPr>
                <w:b/>
              </w:rPr>
              <w:t>Textbeispiele</w:t>
            </w:r>
          </w:p>
        </w:tc>
        <w:tc>
          <w:tcPr>
            <w:tcW w:w="3780" w:type="dxa"/>
            <w:vAlign w:val="center"/>
            <w:hideMark/>
          </w:tcPr>
          <w:p w14:paraId="28C8435F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25CD6410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882E48" w14:paraId="547BE0ED" w14:textId="77777777" w:rsidTr="004027BD">
        <w:trPr>
          <w:trHeight w:val="20"/>
        </w:trPr>
        <w:tc>
          <w:tcPr>
            <w:tcW w:w="4248" w:type="dxa"/>
          </w:tcPr>
          <w:p w14:paraId="1BE59019" w14:textId="77777777" w:rsidR="00301E93" w:rsidRPr="001A3ED9" w:rsidRDefault="00E52F5D" w:rsidP="00AE1516">
            <w:pPr>
              <w:pStyle w:val="NoSpacing"/>
              <w:rPr>
                <w:b/>
                <w:lang w:val="de-DE"/>
              </w:rPr>
            </w:pPr>
            <w:r w:rsidRPr="00E52F5D">
              <w:rPr>
                <w:b/>
              </w:rPr>
              <w:t>7.</w:t>
            </w:r>
            <w:r w:rsidR="001A3ED9">
              <w:rPr>
                <w:b/>
              </w:rPr>
              <w:t xml:space="preserve"> Zusammefassung, Textbeispiele</w:t>
            </w:r>
          </w:p>
        </w:tc>
        <w:tc>
          <w:tcPr>
            <w:tcW w:w="3780" w:type="dxa"/>
            <w:vAlign w:val="center"/>
            <w:hideMark/>
          </w:tcPr>
          <w:p w14:paraId="50D5D537" w14:textId="77777777" w:rsidR="00882E48" w:rsidRDefault="004027BD" w:rsidP="004027BD">
            <w:pPr>
              <w:spacing w:after="0" w:line="240" w:lineRule="auto"/>
              <w:jc w:val="center"/>
              <w:rPr>
                <w:bCs/>
                <w:szCs w:val="24"/>
                <w:lang w:val="ro-RO"/>
              </w:rPr>
            </w:pPr>
            <w:r>
              <w:rPr>
                <w:szCs w:val="24"/>
              </w:rPr>
              <w:t>Explicaţia, metode deductive, analiza pe text, exerciții de traducere</w:t>
            </w:r>
          </w:p>
        </w:tc>
        <w:tc>
          <w:tcPr>
            <w:tcW w:w="1515" w:type="dxa"/>
          </w:tcPr>
          <w:p w14:paraId="3661796B" w14:textId="77777777" w:rsidR="00882E48" w:rsidRDefault="00882E48" w:rsidP="00882E48">
            <w:pPr>
              <w:jc w:val="center"/>
            </w:pPr>
            <w:r w:rsidRPr="00066069">
              <w:rPr>
                <w:bCs/>
                <w:szCs w:val="24"/>
                <w:lang w:val="ro-RO"/>
              </w:rPr>
              <w:t>2 ore</w:t>
            </w:r>
          </w:p>
        </w:tc>
      </w:tr>
      <w:tr w:rsidR="001B75C4" w:rsidRPr="00FF54C2" w14:paraId="391DD0E9" w14:textId="77777777" w:rsidTr="00BF1321">
        <w:trPr>
          <w:trHeight w:val="20"/>
        </w:trPr>
        <w:tc>
          <w:tcPr>
            <w:tcW w:w="9543" w:type="dxa"/>
            <w:gridSpan w:val="3"/>
            <w:shd w:val="clear" w:color="auto" w:fill="auto"/>
          </w:tcPr>
          <w:p w14:paraId="2F70C2E2" w14:textId="77777777" w:rsidR="00CC261D" w:rsidRDefault="00CC261D" w:rsidP="00CC261D">
            <w:pPr>
              <w:pStyle w:val="western"/>
              <w:spacing w:after="0" w:line="240" w:lineRule="auto"/>
              <w:ind w:left="101" w:right="-14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ra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13F12954" w14:textId="77777777" w:rsidR="003242BD" w:rsidRDefault="003242BD" w:rsidP="00AE1516">
            <w:pPr>
              <w:pStyle w:val="NoSpacing"/>
              <w:rPr>
                <w:lang w:val="ro-RO"/>
              </w:rPr>
            </w:pPr>
          </w:p>
          <w:p w14:paraId="25CB2B19" w14:textId="77777777" w:rsidR="008178E0" w:rsidRPr="008178E0" w:rsidRDefault="008178E0" w:rsidP="008178E0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8178E0">
              <w:rPr>
                <w:rFonts w:eastAsia="Times New Roman"/>
                <w:bCs/>
                <w:iCs/>
                <w:color w:val="000000"/>
                <w:szCs w:val="18"/>
                <w:lang w:val="ro-RO"/>
              </w:rPr>
              <w:t xml:space="preserve">Dömők Sz. (1999). </w:t>
            </w:r>
            <w:r w:rsidRPr="008178E0">
              <w:rPr>
                <w:rFonts w:eastAsia="Times New Roman"/>
                <w:i/>
                <w:iCs/>
                <w:color w:val="000000"/>
                <w:szCs w:val="18"/>
                <w:lang w:val="ro-RO"/>
              </w:rPr>
              <w:t xml:space="preserve">Presseschau: német sajtónyelv - szövegértési és szókincsbővítő gyakorlatok. </w:t>
            </w:r>
            <w:r w:rsidRPr="008178E0">
              <w:rPr>
                <w:rFonts w:eastAsia="Times New Roman"/>
                <w:iCs/>
                <w:color w:val="000000"/>
                <w:szCs w:val="18"/>
                <w:lang w:val="ro-RO"/>
              </w:rPr>
              <w:t>Budapest: Akadémiai Kiadó</w:t>
            </w:r>
            <w:r w:rsidRPr="008178E0">
              <w:rPr>
                <w:rFonts w:eastAsia="Times New Roman"/>
                <w:color w:val="000000"/>
                <w:szCs w:val="18"/>
                <w:lang w:val="ro-RO"/>
              </w:rPr>
              <w:t xml:space="preserve">. </w:t>
            </w:r>
          </w:p>
          <w:p w14:paraId="7E411EAB" w14:textId="77777777" w:rsidR="00C826B2" w:rsidRDefault="00C826B2" w:rsidP="00AE1516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lastRenderedPageBreak/>
              <w:t>*</w:t>
            </w:r>
            <w:r w:rsidRPr="00C826B2">
              <w:rPr>
                <w:lang w:val="ro-RO"/>
              </w:rPr>
              <w:t>Horváth B</w:t>
            </w:r>
            <w:r>
              <w:rPr>
                <w:lang w:val="ro-RO"/>
              </w:rPr>
              <w:t xml:space="preserve">. et. al. (Ed.) (2004). </w:t>
            </w:r>
            <w:r w:rsidRPr="00C826B2">
              <w:rPr>
                <w:i/>
                <w:lang w:val="ro-RO"/>
              </w:rPr>
              <w:t>Fordítás magyarra és szövegértés</w:t>
            </w:r>
            <w:r>
              <w:rPr>
                <w:lang w:val="ro-RO"/>
              </w:rPr>
              <w:t>. Budapest: Akadémiai Kiadó.</w:t>
            </w:r>
          </w:p>
          <w:p w14:paraId="234275FE" w14:textId="77777777" w:rsidR="001B75C4" w:rsidRDefault="003242BD" w:rsidP="00AE1516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 xml:space="preserve">*Klaudy. K., Salánki Á. (2009) </w:t>
            </w:r>
            <w:r w:rsidRPr="00515394">
              <w:rPr>
                <w:i/>
                <w:lang w:val="ro-RO"/>
              </w:rPr>
              <w:t>Német-magyar fordítástechnika</w:t>
            </w:r>
            <w:r w:rsidRPr="003242BD">
              <w:rPr>
                <w:lang w:val="ro-RO"/>
              </w:rPr>
              <w:t>. B</w:t>
            </w:r>
            <w:r>
              <w:rPr>
                <w:lang w:val="ro-RO"/>
              </w:rPr>
              <w:t>udapest: Nemzeti Tankönyvkiadó.</w:t>
            </w:r>
          </w:p>
          <w:p w14:paraId="47B54C18" w14:textId="77777777" w:rsidR="00FF54C2" w:rsidRDefault="00FF54C2" w:rsidP="00FF54C2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FF54C2">
              <w:rPr>
                <w:lang w:val="ro-RO"/>
              </w:rPr>
              <w:t xml:space="preserve">Nord, </w:t>
            </w:r>
            <w:r>
              <w:rPr>
                <w:lang w:val="ro-RO"/>
              </w:rPr>
              <w:t xml:space="preserve">C. (2010). </w:t>
            </w:r>
            <w:r>
              <w:rPr>
                <w:i/>
                <w:lang w:val="ro-RO"/>
              </w:rPr>
              <w:t>Fertigkeit Übersetzen</w:t>
            </w:r>
            <w:r w:rsidRPr="00FF54C2">
              <w:rPr>
                <w:i/>
                <w:lang w:val="ro-RO"/>
              </w:rPr>
              <w:t>: ein Kurs z</w:t>
            </w:r>
            <w:r>
              <w:rPr>
                <w:i/>
                <w:lang w:val="ro-RO"/>
              </w:rPr>
              <w:t xml:space="preserve">um Übersetzenlehren und –lernen. </w:t>
            </w:r>
            <w:r w:rsidRPr="00FF54C2">
              <w:rPr>
                <w:lang w:val="ro-RO"/>
              </w:rPr>
              <w:t>Berl</w:t>
            </w:r>
            <w:r>
              <w:rPr>
                <w:lang w:val="ro-RO"/>
              </w:rPr>
              <w:t>in: BDÜ Fachverlag.</w:t>
            </w:r>
            <w:r w:rsidRPr="00FF54C2">
              <w:rPr>
                <w:lang w:val="ro-RO"/>
              </w:rPr>
              <w:t xml:space="preserve"> </w:t>
            </w:r>
          </w:p>
          <w:p w14:paraId="1134FEC0" w14:textId="77777777" w:rsidR="00F0239E" w:rsidRPr="00CC261D" w:rsidRDefault="00FF54C2" w:rsidP="00FF54C2">
            <w:pPr>
              <w:pStyle w:val="NoSpacing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6D2805">
              <w:rPr>
                <w:lang w:val="ro-RO"/>
              </w:rPr>
              <w:t>Snell-Hornby et al. (</w:t>
            </w:r>
            <w:r>
              <w:rPr>
                <w:lang w:val="ro-RO"/>
              </w:rPr>
              <w:t>Ed</w:t>
            </w:r>
            <w:r w:rsidRPr="006D2805">
              <w:rPr>
                <w:lang w:val="ro-RO"/>
              </w:rPr>
              <w:t>.)</w:t>
            </w:r>
            <w:r>
              <w:rPr>
                <w:lang w:val="ro-RO"/>
              </w:rPr>
              <w:t xml:space="preserve"> (2006)</w:t>
            </w:r>
            <w:r w:rsidRPr="006D2805">
              <w:rPr>
                <w:lang w:val="ro-RO"/>
              </w:rPr>
              <w:t xml:space="preserve"> </w:t>
            </w:r>
            <w:r w:rsidRPr="006D2805">
              <w:rPr>
                <w:i/>
                <w:lang w:val="ro-RO"/>
              </w:rPr>
              <w:t>Handbuch Translation</w:t>
            </w:r>
            <w:r>
              <w:rPr>
                <w:lang w:val="ro-RO"/>
              </w:rPr>
              <w:t>. Tübingen</w:t>
            </w:r>
            <w:r w:rsidRPr="006D2805">
              <w:rPr>
                <w:lang w:val="ro-RO"/>
              </w:rPr>
              <w:t>: Stauffenburg Verlag</w:t>
            </w:r>
            <w:r>
              <w:rPr>
                <w:lang w:val="ro-RO"/>
              </w:rPr>
              <w:t>.</w:t>
            </w:r>
          </w:p>
        </w:tc>
      </w:tr>
    </w:tbl>
    <w:p w14:paraId="47E44739" w14:textId="77777777" w:rsidR="00BF1321" w:rsidRDefault="00BF1321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1B8D219D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9. Coroborarea conținuturilor disciplinei cu așteptările reprezentanților comunității epistemice, asociațiilor profesionale și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B04ED" w14:paraId="4A144E22" w14:textId="77777777" w:rsidTr="001B04E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3797" w14:textId="77777777" w:rsidR="001B04ED" w:rsidRDefault="00112E7D" w:rsidP="00740B4B">
            <w:pPr>
              <w:spacing w:after="0" w:line="240" w:lineRule="auto"/>
              <w:ind w:right="331"/>
              <w:contextualSpacing/>
              <w:jc w:val="both"/>
              <w:rPr>
                <w:szCs w:val="24"/>
                <w:lang w:val="ro-RO"/>
              </w:rPr>
            </w:pPr>
            <w:r w:rsidRPr="00112E7D">
              <w:rPr>
                <w:szCs w:val="24"/>
                <w:lang w:val="ro-RO"/>
              </w:rPr>
              <w:t xml:space="preserve">Conţinutul disciplinei este în concordanţă cu ceea ce se predă în alte centre universitare din ţară şi din străinătate şi cu misiunea şi obiectivele specializării, fiind astfel conceput, încât să </w:t>
            </w:r>
            <w:r w:rsidRPr="00112E7D">
              <w:rPr>
                <w:szCs w:val="24"/>
              </w:rPr>
              <w:t>asigure o pregătire sistematică a studenţilor şi, în acelaşi timp, să fie evitate suprapunerile în ceea ce priveşte conţinutul tematic al disciplinelor. În privinţa adaptării la cerinţele pieţei muncii a conţinutului disciplinei au avut loc întâlniri cu reprezentanţii de specialitate.</w:t>
            </w:r>
          </w:p>
        </w:tc>
      </w:tr>
    </w:tbl>
    <w:p w14:paraId="080643A0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735CF95C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10. Evaluare</w:t>
      </w:r>
    </w:p>
    <w:p w14:paraId="50D72D04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A. Condiții de îndeplinit pentru prezentarea la evaluare:</w:t>
      </w:r>
    </w:p>
    <w:p w14:paraId="69E6D030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participare activă la activitățile în cadrul orelor;</w:t>
      </w:r>
    </w:p>
    <w:p w14:paraId="56CDA431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2A20D514" w14:textId="77777777" w:rsidR="001B04ED" w:rsidRDefault="001B04ED" w:rsidP="001B04ED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dobândirea a cel puțin 50% din punctajul total;</w:t>
      </w:r>
    </w:p>
    <w:p w14:paraId="489B1B9C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</w:p>
    <w:p w14:paraId="017F041F" w14:textId="77777777" w:rsidR="001B04ED" w:rsidRDefault="001B04ED" w:rsidP="001B04ED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B. Criterii, metode și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1727"/>
        <w:gridCol w:w="3482"/>
        <w:gridCol w:w="2700"/>
        <w:gridCol w:w="1641"/>
      </w:tblGrid>
      <w:tr w:rsidR="001B04ED" w14:paraId="04057BC0" w14:textId="77777777" w:rsidTr="001B04ED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C194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Tip activitate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F39A" w14:textId="77777777" w:rsidR="001B04ED" w:rsidRDefault="001B04ED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400F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10.2. Metode de evaluare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5A56" w14:textId="77777777" w:rsidR="001B04ED" w:rsidRDefault="001B04ED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10.3. Pondere din nota finală</w:t>
            </w:r>
          </w:p>
        </w:tc>
      </w:tr>
      <w:tr w:rsidR="001B04ED" w14:paraId="34BF62A3" w14:textId="77777777" w:rsidTr="008F14A7">
        <w:trPr>
          <w:trHeight w:val="620"/>
        </w:trPr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1471" w14:textId="77777777" w:rsidR="001B04ED" w:rsidRDefault="001B04ED" w:rsidP="008F14A7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10.4. </w:t>
            </w:r>
            <w:r w:rsidR="008F14A7">
              <w:rPr>
                <w:szCs w:val="24"/>
                <w:lang w:val="ro-RO"/>
              </w:rPr>
              <w:t>Seminar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22CE3" w14:textId="77777777" w:rsidR="001B04ED" w:rsidRPr="008F14A7" w:rsidRDefault="006551A9" w:rsidP="008F14A7">
            <w:pPr>
              <w:spacing w:before="9" w:after="0" w:line="240" w:lineRule="auto"/>
              <w:ind w:right="85"/>
              <w:rPr>
                <w:lang w:val="it-IT"/>
              </w:rPr>
            </w:pPr>
            <w:r w:rsidRPr="002B3E82">
              <w:rPr>
                <w:lang w:val="it-IT"/>
              </w:rPr>
              <w:t>Realizarea sarcinilor de lucru</w:t>
            </w:r>
            <w:r w:rsidR="008F14A7">
              <w:rPr>
                <w:lang w:val="it-IT"/>
              </w:rPr>
              <w:t xml:space="preserve"> (texte pentru tradus B-A)</w:t>
            </w:r>
            <w:r w:rsidR="001E7796">
              <w:rPr>
                <w:lang w:val="it-IT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C147" w14:textId="77777777" w:rsidR="001B04ED" w:rsidRDefault="008F14A7" w:rsidP="008F14A7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Proiect de traducere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9F33" w14:textId="77777777" w:rsidR="001B04ED" w:rsidRDefault="00FB3ED0">
            <w:pPr>
              <w:spacing w:after="0" w:line="240" w:lineRule="auto"/>
              <w:ind w:right="-20"/>
              <w:contextualSpacing/>
              <w:jc w:val="center"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7</w:t>
            </w:r>
            <w:r w:rsidR="001B04ED">
              <w:rPr>
                <w:bCs/>
                <w:position w:val="-1"/>
                <w:szCs w:val="24"/>
                <w:lang w:val="ro-RO"/>
              </w:rPr>
              <w:t>0%</w:t>
            </w:r>
          </w:p>
        </w:tc>
      </w:tr>
      <w:tr w:rsidR="001B04ED" w14:paraId="0D700F02" w14:textId="77777777" w:rsidTr="001B04ED">
        <w:trPr>
          <w:trHeight w:val="2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CB67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10.5.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2ED22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Proiect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0C77" w14:textId="77777777" w:rsidR="001B04ED" w:rsidRDefault="008F14A7" w:rsidP="00FB3ED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Verificare pe parcurs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B0646" w14:textId="77777777" w:rsidR="001B04ED" w:rsidRDefault="001B04ED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C8B7E" w14:textId="77777777" w:rsidR="001B04ED" w:rsidRDefault="00FB3ED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FB3ED0">
              <w:rPr>
                <w:szCs w:val="24"/>
                <w:lang w:val="ro-RO"/>
              </w:rPr>
              <w:t>30%</w:t>
            </w:r>
          </w:p>
        </w:tc>
      </w:tr>
      <w:tr w:rsidR="001B04ED" w14:paraId="69CF578D" w14:textId="77777777" w:rsidTr="001B04ED">
        <w:trPr>
          <w:trHeight w:val="2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75FA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BEC7" w14:textId="77777777" w:rsidR="001B04ED" w:rsidRDefault="001B04ED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B2A7" w14:textId="77777777" w:rsidR="001B04ED" w:rsidRDefault="00FB3ED0" w:rsidP="00FB3ED0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se permite un maxim de absențe stabilite în Regulamentul de studii.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B31F" w14:textId="77777777" w:rsidR="001B04ED" w:rsidRDefault="001B04ED">
            <w:pPr>
              <w:jc w:val="center"/>
              <w:rPr>
                <w:lang w:val="ro-RO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68E1" w14:textId="77777777" w:rsidR="001B04ED" w:rsidRDefault="001B04ED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</w:tr>
      <w:tr w:rsidR="001B04ED" w14:paraId="51252604" w14:textId="77777777" w:rsidTr="001B04E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B7EE" w14:textId="77777777" w:rsidR="00FB3ED0" w:rsidRDefault="001B04ED" w:rsidP="00FB3ED0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10.6. Standard minim de performanță:</w:t>
            </w:r>
            <w:r w:rsidR="00FB3ED0">
              <w:rPr>
                <w:lang w:val="ro-RO"/>
              </w:rPr>
              <w:t xml:space="preserve"> </w:t>
            </w:r>
            <w:r w:rsidR="00FB3ED0" w:rsidRPr="00FB3ED0">
              <w:rPr>
                <w:lang w:val="ro-RO"/>
              </w:rPr>
              <w:t>50%</w:t>
            </w:r>
          </w:p>
          <w:p w14:paraId="16C2FB08" w14:textId="77777777" w:rsidR="001B04ED" w:rsidRPr="00FB3ED0" w:rsidRDefault="00FB3ED0" w:rsidP="00FB3ED0">
            <w:pPr>
              <w:pStyle w:val="NoSpacing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ED0">
              <w:rPr>
                <w:rFonts w:eastAsia="Times New Roman"/>
                <w:color w:val="000000"/>
                <w:lang w:val="ro-RO"/>
              </w:rPr>
              <w:t>Contribuția activă la orele de curs, proiect și examen oral minim 50%.</w:t>
            </w:r>
          </w:p>
        </w:tc>
      </w:tr>
    </w:tbl>
    <w:p w14:paraId="19304591" w14:textId="77777777" w:rsidR="001B04ED" w:rsidRDefault="001B04ED" w:rsidP="001B04ED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B4086C" w:rsidRPr="002A4B91" w14:paraId="3E70B44C" w14:textId="77777777" w:rsidTr="004E715D">
        <w:trPr>
          <w:trHeight w:val="952"/>
        </w:trPr>
        <w:tc>
          <w:tcPr>
            <w:tcW w:w="2250" w:type="dxa"/>
          </w:tcPr>
          <w:p w14:paraId="565C6EAE" w14:textId="77777777" w:rsidR="00B4086C" w:rsidRPr="002A4B91" w:rsidRDefault="00B4086C" w:rsidP="004E715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330EFF00" w14:textId="77777777" w:rsidR="00B4086C" w:rsidRPr="002A4B91" w:rsidRDefault="00B4086C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61596B27" w14:textId="77777777" w:rsidR="00B4086C" w:rsidRPr="002A4B91" w:rsidRDefault="00B4086C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B4086C" w:rsidRPr="002A4B91" w14:paraId="67BEBE20" w14:textId="77777777" w:rsidTr="004E715D">
        <w:trPr>
          <w:trHeight w:val="952"/>
        </w:trPr>
        <w:tc>
          <w:tcPr>
            <w:tcW w:w="2250" w:type="dxa"/>
          </w:tcPr>
          <w:p w14:paraId="04C1AE7D" w14:textId="77777777" w:rsidR="00B4086C" w:rsidRDefault="00B4086C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154FB3F3" w14:textId="77777777" w:rsidR="00B4086C" w:rsidRPr="002A4B91" w:rsidRDefault="00B4086C" w:rsidP="004E715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2DB73025" w14:textId="77777777" w:rsidR="00B4086C" w:rsidRDefault="00B4086C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07E6053F" w14:textId="77777777" w:rsidR="00FB3ED0" w:rsidRDefault="00FB3ED0" w:rsidP="00AE1516"/>
    <w:sectPr w:rsidR="00FB3ED0" w:rsidSect="00174FA2">
      <w:headerReference w:type="default" r:id="rId7"/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4465E" w14:textId="77777777" w:rsidR="00F9244C" w:rsidRDefault="00F9244C" w:rsidP="00174FA2">
      <w:pPr>
        <w:spacing w:after="0" w:line="240" w:lineRule="auto"/>
      </w:pPr>
      <w:r>
        <w:separator/>
      </w:r>
    </w:p>
  </w:endnote>
  <w:endnote w:type="continuationSeparator" w:id="0">
    <w:p w14:paraId="723F72EF" w14:textId="77777777" w:rsidR="00F9244C" w:rsidRDefault="00F9244C" w:rsidP="0017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54840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5508F8" w14:textId="77777777" w:rsidR="00174FA2" w:rsidRDefault="00174FA2" w:rsidP="00174F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9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3DC95" w14:textId="77777777" w:rsidR="00F9244C" w:rsidRDefault="00F9244C" w:rsidP="00174FA2">
      <w:pPr>
        <w:spacing w:after="0" w:line="240" w:lineRule="auto"/>
      </w:pPr>
      <w:r>
        <w:separator/>
      </w:r>
    </w:p>
  </w:footnote>
  <w:footnote w:type="continuationSeparator" w:id="0">
    <w:p w14:paraId="714D33F1" w14:textId="77777777" w:rsidR="00F9244C" w:rsidRDefault="00F9244C" w:rsidP="00174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15D8D" w14:textId="54F069BE" w:rsidR="00174FA2" w:rsidRPr="00174FA2" w:rsidRDefault="00174FA2" w:rsidP="00174FA2">
    <w:pPr>
      <w:pStyle w:val="Header"/>
      <w:jc w:val="right"/>
      <w:rPr>
        <w:sz w:val="16"/>
        <w:szCs w:val="16"/>
      </w:rPr>
    </w:pPr>
    <w:r w:rsidRPr="00174FA2">
      <w:rPr>
        <w:sz w:val="16"/>
        <w:szCs w:val="16"/>
      </w:rPr>
      <w:fldChar w:fldCharType="begin"/>
    </w:r>
    <w:r w:rsidRPr="00174FA2">
      <w:rPr>
        <w:sz w:val="16"/>
        <w:szCs w:val="16"/>
        <w:lang w:val="ro-RO"/>
      </w:rPr>
      <w:instrText xml:space="preserve"> FILENAME \* MERGEFORMAT </w:instrText>
    </w:r>
    <w:r w:rsidRPr="00174FA2">
      <w:rPr>
        <w:sz w:val="16"/>
        <w:szCs w:val="16"/>
      </w:rPr>
      <w:fldChar w:fldCharType="separate"/>
    </w:r>
    <w:r w:rsidR="00984011">
      <w:rPr>
        <w:noProof/>
        <w:sz w:val="16"/>
        <w:szCs w:val="16"/>
        <w:lang w:val="ro-RO"/>
      </w:rPr>
      <w:t>3.3.6 FD 2.09 CP2G 19-20.2 AK</w:t>
    </w:r>
    <w:r w:rsidRPr="00174FA2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8DB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1FC3D68"/>
    <w:multiLevelType w:val="hybridMultilevel"/>
    <w:tmpl w:val="931C3E3E"/>
    <w:lvl w:ilvl="0" w:tplc="1FA08766">
      <w:start w:val="1"/>
      <w:numFmt w:val="decimal"/>
      <w:lvlText w:val="%1."/>
      <w:lvlJc w:val="left"/>
      <w:pPr>
        <w:ind w:left="82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7D2C3C"/>
    <w:multiLevelType w:val="hybridMultilevel"/>
    <w:tmpl w:val="4F4EDAAE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9718F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1C0777"/>
    <w:multiLevelType w:val="hybridMultilevel"/>
    <w:tmpl w:val="2FE81C98"/>
    <w:lvl w:ilvl="0" w:tplc="5426D1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2A2A89"/>
    <w:multiLevelType w:val="hybridMultilevel"/>
    <w:tmpl w:val="DBACE9AA"/>
    <w:lvl w:ilvl="0" w:tplc="12F0FB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E1167"/>
    <w:multiLevelType w:val="hybridMultilevel"/>
    <w:tmpl w:val="A628C362"/>
    <w:lvl w:ilvl="0" w:tplc="FDA2E4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33FF1"/>
    <w:multiLevelType w:val="hybridMultilevel"/>
    <w:tmpl w:val="680C3104"/>
    <w:lvl w:ilvl="0" w:tplc="790E7D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A66C1"/>
    <w:multiLevelType w:val="hybridMultilevel"/>
    <w:tmpl w:val="912A85EA"/>
    <w:lvl w:ilvl="0" w:tplc="0F2C5D3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F55F48"/>
    <w:multiLevelType w:val="multilevel"/>
    <w:tmpl w:val="1624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15CE"/>
    <w:multiLevelType w:val="hybridMultilevel"/>
    <w:tmpl w:val="E1087AA0"/>
    <w:lvl w:ilvl="0" w:tplc="9EEAFC4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316AE9"/>
    <w:multiLevelType w:val="multilevel"/>
    <w:tmpl w:val="6868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C1140"/>
    <w:multiLevelType w:val="hybridMultilevel"/>
    <w:tmpl w:val="04B26354"/>
    <w:lvl w:ilvl="0" w:tplc="294A67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04D3B"/>
    <w:multiLevelType w:val="hybridMultilevel"/>
    <w:tmpl w:val="8640C466"/>
    <w:lvl w:ilvl="0" w:tplc="E07EF4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B7C6C"/>
    <w:multiLevelType w:val="hybridMultilevel"/>
    <w:tmpl w:val="A9E8DBAA"/>
    <w:lvl w:ilvl="0" w:tplc="A5FC25A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653617"/>
    <w:multiLevelType w:val="hybridMultilevel"/>
    <w:tmpl w:val="52863CCA"/>
    <w:lvl w:ilvl="0" w:tplc="5EB4A39E">
      <w:start w:val="9"/>
      <w:numFmt w:val="decimal"/>
      <w:lvlText w:val="%1."/>
      <w:lvlJc w:val="left"/>
      <w:pPr>
        <w:ind w:left="93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53" w:hanging="360"/>
      </w:pPr>
    </w:lvl>
    <w:lvl w:ilvl="2" w:tplc="040E001B" w:tentative="1">
      <w:start w:val="1"/>
      <w:numFmt w:val="lowerRoman"/>
      <w:lvlText w:val="%3."/>
      <w:lvlJc w:val="right"/>
      <w:pPr>
        <w:ind w:left="2373" w:hanging="180"/>
      </w:pPr>
    </w:lvl>
    <w:lvl w:ilvl="3" w:tplc="040E000F" w:tentative="1">
      <w:start w:val="1"/>
      <w:numFmt w:val="decimal"/>
      <w:lvlText w:val="%4."/>
      <w:lvlJc w:val="left"/>
      <w:pPr>
        <w:ind w:left="3093" w:hanging="360"/>
      </w:pPr>
    </w:lvl>
    <w:lvl w:ilvl="4" w:tplc="040E0019" w:tentative="1">
      <w:start w:val="1"/>
      <w:numFmt w:val="lowerLetter"/>
      <w:lvlText w:val="%5."/>
      <w:lvlJc w:val="left"/>
      <w:pPr>
        <w:ind w:left="3813" w:hanging="360"/>
      </w:pPr>
    </w:lvl>
    <w:lvl w:ilvl="5" w:tplc="040E001B" w:tentative="1">
      <w:start w:val="1"/>
      <w:numFmt w:val="lowerRoman"/>
      <w:lvlText w:val="%6."/>
      <w:lvlJc w:val="right"/>
      <w:pPr>
        <w:ind w:left="4533" w:hanging="180"/>
      </w:pPr>
    </w:lvl>
    <w:lvl w:ilvl="6" w:tplc="040E000F" w:tentative="1">
      <w:start w:val="1"/>
      <w:numFmt w:val="decimal"/>
      <w:lvlText w:val="%7."/>
      <w:lvlJc w:val="left"/>
      <w:pPr>
        <w:ind w:left="5253" w:hanging="360"/>
      </w:pPr>
    </w:lvl>
    <w:lvl w:ilvl="7" w:tplc="040E0019" w:tentative="1">
      <w:start w:val="1"/>
      <w:numFmt w:val="lowerLetter"/>
      <w:lvlText w:val="%8."/>
      <w:lvlJc w:val="left"/>
      <w:pPr>
        <w:ind w:left="5973" w:hanging="360"/>
      </w:pPr>
    </w:lvl>
    <w:lvl w:ilvl="8" w:tplc="040E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2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B1FA6"/>
    <w:multiLevelType w:val="hybridMultilevel"/>
    <w:tmpl w:val="0494DB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5AF540DE"/>
    <w:multiLevelType w:val="hybridMultilevel"/>
    <w:tmpl w:val="C79A17EC"/>
    <w:lvl w:ilvl="0" w:tplc="94CCFA3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7F5EBE"/>
    <w:multiLevelType w:val="hybridMultilevel"/>
    <w:tmpl w:val="D8941FC0"/>
    <w:lvl w:ilvl="0" w:tplc="7D466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E0543"/>
    <w:multiLevelType w:val="hybridMultilevel"/>
    <w:tmpl w:val="2DE61DFA"/>
    <w:lvl w:ilvl="0" w:tplc="6F7E90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F18"/>
    <w:multiLevelType w:val="hybridMultilevel"/>
    <w:tmpl w:val="57802F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004E6B"/>
    <w:multiLevelType w:val="hybridMultilevel"/>
    <w:tmpl w:val="CCDA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73F3D"/>
    <w:multiLevelType w:val="hybridMultilevel"/>
    <w:tmpl w:val="7C961B10"/>
    <w:lvl w:ilvl="0" w:tplc="D7D0DE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E2CD3"/>
    <w:multiLevelType w:val="hybridMultilevel"/>
    <w:tmpl w:val="BEA4520A"/>
    <w:lvl w:ilvl="0" w:tplc="16680B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226156"/>
    <w:multiLevelType w:val="hybridMultilevel"/>
    <w:tmpl w:val="A416798A"/>
    <w:lvl w:ilvl="0" w:tplc="9E3261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CC4D5B"/>
    <w:multiLevelType w:val="hybridMultilevel"/>
    <w:tmpl w:val="B0D8DC9C"/>
    <w:lvl w:ilvl="0" w:tplc="A5FC25A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32"/>
  </w:num>
  <w:num w:numId="10">
    <w:abstractNumId w:val="15"/>
  </w:num>
  <w:num w:numId="11">
    <w:abstractNumId w:val="31"/>
  </w:num>
  <w:num w:numId="12">
    <w:abstractNumId w:val="1"/>
  </w:num>
  <w:num w:numId="13">
    <w:abstractNumId w:val="2"/>
  </w:num>
  <w:num w:numId="14">
    <w:abstractNumId w:val="24"/>
  </w:num>
  <w:num w:numId="15">
    <w:abstractNumId w:val="21"/>
  </w:num>
  <w:num w:numId="16">
    <w:abstractNumId w:val="30"/>
  </w:num>
  <w:num w:numId="17">
    <w:abstractNumId w:val="19"/>
  </w:num>
  <w:num w:numId="18">
    <w:abstractNumId w:val="25"/>
  </w:num>
  <w:num w:numId="19">
    <w:abstractNumId w:val="29"/>
  </w:num>
  <w:num w:numId="20">
    <w:abstractNumId w:val="11"/>
  </w:num>
  <w:num w:numId="21">
    <w:abstractNumId w:val="18"/>
  </w:num>
  <w:num w:numId="22">
    <w:abstractNumId w:val="9"/>
  </w:num>
  <w:num w:numId="23">
    <w:abstractNumId w:val="23"/>
  </w:num>
  <w:num w:numId="24">
    <w:abstractNumId w:val="10"/>
  </w:num>
  <w:num w:numId="25">
    <w:abstractNumId w:val="8"/>
  </w:num>
  <w:num w:numId="26">
    <w:abstractNumId w:val="16"/>
  </w:num>
  <w:num w:numId="27">
    <w:abstractNumId w:val="12"/>
  </w:num>
  <w:num w:numId="28">
    <w:abstractNumId w:val="26"/>
  </w:num>
  <w:num w:numId="29">
    <w:abstractNumId w:val="14"/>
  </w:num>
  <w:num w:numId="30">
    <w:abstractNumId w:val="17"/>
  </w:num>
  <w:num w:numId="31">
    <w:abstractNumId w:val="20"/>
  </w:num>
  <w:num w:numId="32">
    <w:abstractNumId w:val="3"/>
  </w:num>
  <w:num w:numId="33">
    <w:abstractNumId w:val="33"/>
  </w:num>
  <w:num w:numId="34">
    <w:abstractNumId w:val="4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4ED"/>
    <w:rsid w:val="000915FE"/>
    <w:rsid w:val="000F04DF"/>
    <w:rsid w:val="00112E7D"/>
    <w:rsid w:val="00152F18"/>
    <w:rsid w:val="00174FA2"/>
    <w:rsid w:val="001A1C99"/>
    <w:rsid w:val="001A3ED9"/>
    <w:rsid w:val="001B04ED"/>
    <w:rsid w:val="001B6268"/>
    <w:rsid w:val="001B75C4"/>
    <w:rsid w:val="001E7796"/>
    <w:rsid w:val="001F1D7B"/>
    <w:rsid w:val="00261D45"/>
    <w:rsid w:val="0028791B"/>
    <w:rsid w:val="002A02E0"/>
    <w:rsid w:val="00301E93"/>
    <w:rsid w:val="003242BD"/>
    <w:rsid w:val="003B1ED7"/>
    <w:rsid w:val="003C6323"/>
    <w:rsid w:val="004027BD"/>
    <w:rsid w:val="0045094A"/>
    <w:rsid w:val="00515394"/>
    <w:rsid w:val="00566C13"/>
    <w:rsid w:val="00595B06"/>
    <w:rsid w:val="005A7754"/>
    <w:rsid w:val="005D6E29"/>
    <w:rsid w:val="00605774"/>
    <w:rsid w:val="00634229"/>
    <w:rsid w:val="006551A9"/>
    <w:rsid w:val="0067561D"/>
    <w:rsid w:val="0067618C"/>
    <w:rsid w:val="006B2ECE"/>
    <w:rsid w:val="00702306"/>
    <w:rsid w:val="00740B4B"/>
    <w:rsid w:val="008178E0"/>
    <w:rsid w:val="00882D89"/>
    <w:rsid w:val="00882E48"/>
    <w:rsid w:val="008F14A7"/>
    <w:rsid w:val="009013A6"/>
    <w:rsid w:val="00971A9D"/>
    <w:rsid w:val="00984011"/>
    <w:rsid w:val="009B4626"/>
    <w:rsid w:val="009E35B1"/>
    <w:rsid w:val="00A324C1"/>
    <w:rsid w:val="00A7388E"/>
    <w:rsid w:val="00AE1516"/>
    <w:rsid w:val="00AE718C"/>
    <w:rsid w:val="00B4086C"/>
    <w:rsid w:val="00B6421D"/>
    <w:rsid w:val="00BF1321"/>
    <w:rsid w:val="00C513AA"/>
    <w:rsid w:val="00C815DB"/>
    <w:rsid w:val="00C826B2"/>
    <w:rsid w:val="00CC261D"/>
    <w:rsid w:val="00CE5614"/>
    <w:rsid w:val="00D23851"/>
    <w:rsid w:val="00D63335"/>
    <w:rsid w:val="00E52F5D"/>
    <w:rsid w:val="00ED1760"/>
    <w:rsid w:val="00ED4DEF"/>
    <w:rsid w:val="00F0239E"/>
    <w:rsid w:val="00F9244C"/>
    <w:rsid w:val="00FB3ED0"/>
    <w:rsid w:val="00FE5A31"/>
    <w:rsid w:val="00FF54C2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FA13A"/>
  <w15:docId w15:val="{F787957E-1A23-4800-B017-113C58F4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ED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04E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04ED"/>
    <w:pPr>
      <w:spacing w:before="100" w:beforeAutospacing="1" w:after="115" w:line="240" w:lineRule="auto"/>
    </w:pPr>
    <w:rPr>
      <w:rFonts w:eastAsia="Times New Roman"/>
      <w:szCs w:val="24"/>
    </w:rPr>
  </w:style>
  <w:style w:type="paragraph" w:styleId="BodyText">
    <w:name w:val="Body Text"/>
    <w:basedOn w:val="Normal"/>
    <w:link w:val="BodyTextChar"/>
    <w:unhideWhenUsed/>
    <w:rsid w:val="001B04ED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basedOn w:val="DefaultParagraphFont"/>
    <w:link w:val="BodyText"/>
    <w:rsid w:val="001B04ED"/>
    <w:rPr>
      <w:rFonts w:ascii="Verdana" w:eastAsia="Times New Roman" w:hAnsi="Verdana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04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04ED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1B04ED"/>
    <w:pPr>
      <w:ind w:left="720"/>
      <w:contextualSpacing/>
    </w:pPr>
  </w:style>
  <w:style w:type="character" w:customStyle="1" w:styleId="apple-converted-space">
    <w:name w:val="apple-converted-space"/>
    <w:rsid w:val="001B04ED"/>
  </w:style>
  <w:style w:type="paragraph" w:customStyle="1" w:styleId="yiv5913694126">
    <w:name w:val="yiv5913694126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yiv5913694126msonormal">
    <w:name w:val="yiv5913694126msonormal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mw-headline">
    <w:name w:val="mw-headline"/>
    <w:basedOn w:val="DefaultParagraphFont"/>
    <w:rsid w:val="001B75C4"/>
  </w:style>
  <w:style w:type="paragraph" w:customStyle="1" w:styleId="TextBody">
    <w:name w:val="Text Body"/>
    <w:basedOn w:val="Normal"/>
    <w:rsid w:val="00A324C1"/>
    <w:pPr>
      <w:widowControl w:val="0"/>
      <w:suppressAutoHyphens/>
      <w:spacing w:after="120"/>
    </w:pPr>
    <w:rPr>
      <w:rFonts w:eastAsia="SimSun" w:cs="Mangal"/>
      <w:szCs w:val="24"/>
      <w:lang w:eastAsia="zh-CN" w:bidi="hi-IN"/>
    </w:rPr>
  </w:style>
  <w:style w:type="paragraph" w:customStyle="1" w:styleId="western">
    <w:name w:val="western"/>
    <w:basedOn w:val="Normal"/>
    <w:rsid w:val="000915FE"/>
    <w:pPr>
      <w:spacing w:before="100" w:beforeAutospacing="1" w:after="115"/>
    </w:pPr>
    <w:rPr>
      <w:rFonts w:ascii="Calibri" w:eastAsia="Times New Roman" w:hAnsi="Calibri" w:cs="Calibri"/>
      <w:color w:val="000000"/>
      <w:sz w:val="22"/>
    </w:rPr>
  </w:style>
  <w:style w:type="paragraph" w:styleId="NoSpacing">
    <w:name w:val="No Spacing"/>
    <w:uiPriority w:val="1"/>
    <w:qFormat/>
    <w:rsid w:val="00FB3ED0"/>
    <w:rPr>
      <w:rFonts w:ascii="Times New Roman" w:hAnsi="Times New Roman"/>
      <w:sz w:val="24"/>
      <w:szCs w:val="22"/>
    </w:rPr>
  </w:style>
  <w:style w:type="paragraph" w:customStyle="1" w:styleId="Default">
    <w:name w:val="Default"/>
    <w:rsid w:val="00ED176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ainheading">
    <w:name w:val="mainheading"/>
    <w:basedOn w:val="Normal"/>
    <w:rsid w:val="00971A9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Cm1">
    <w:name w:val="Cím1"/>
    <w:basedOn w:val="DefaultParagraphFont"/>
    <w:rsid w:val="00971A9D"/>
  </w:style>
  <w:style w:type="paragraph" w:customStyle="1" w:styleId="spacebefore">
    <w:name w:val="space_before"/>
    <w:basedOn w:val="Normal"/>
    <w:rsid w:val="00971A9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Cm2">
    <w:name w:val="Cím2"/>
    <w:basedOn w:val="DefaultParagraphFont"/>
    <w:rsid w:val="008178E0"/>
  </w:style>
  <w:style w:type="paragraph" w:styleId="Header">
    <w:name w:val="header"/>
    <w:basedOn w:val="Normal"/>
    <w:link w:val="HeaderChar"/>
    <w:uiPriority w:val="99"/>
    <w:unhideWhenUsed/>
    <w:rsid w:val="00174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FA2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174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FA2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B4086C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1054</Words>
  <Characters>6009</Characters>
  <Application>Microsoft Office Word</Application>
  <DocSecurity>0</DocSecurity>
  <Lines>50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Attila Imre</cp:lastModifiedBy>
  <cp:revision>8</cp:revision>
  <cp:lastPrinted>2019-11-18T19:30:00Z</cp:lastPrinted>
  <dcterms:created xsi:type="dcterms:W3CDTF">2019-11-07T08:54:00Z</dcterms:created>
  <dcterms:modified xsi:type="dcterms:W3CDTF">2019-11-18T19:30:00Z</dcterms:modified>
</cp:coreProperties>
</file>