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A8E17" w14:textId="77777777" w:rsidR="008027E9" w:rsidRPr="00E51BF5" w:rsidRDefault="008027E9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5A09B72F" w14:textId="77777777" w:rsidR="003B7840" w:rsidRPr="00E51BF5" w:rsidRDefault="003B7840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41C57412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4F0531B7" w14:textId="77777777" w:rsidTr="003B7840">
        <w:tc>
          <w:tcPr>
            <w:tcW w:w="3888" w:type="dxa"/>
          </w:tcPr>
          <w:p w14:paraId="4F02A2E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332FE231" w14:textId="77777777" w:rsidR="008027E9" w:rsidRPr="00E51BF5" w:rsidRDefault="00C332A4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6D453F">
              <w:rPr>
                <w:szCs w:val="24"/>
                <w:lang w:val="hu-HU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6D453F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6D453F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17676FA6" w14:textId="77777777" w:rsidTr="003B7840">
        <w:tc>
          <w:tcPr>
            <w:tcW w:w="3888" w:type="dxa"/>
          </w:tcPr>
          <w:p w14:paraId="15511100" w14:textId="2FCE1009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B8781F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6205E678" w14:textId="78812E85" w:rsidR="008027E9" w:rsidRPr="00E51BF5" w:rsidRDefault="002505AD" w:rsidP="00B8781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 w:rsidR="00B8781F"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52F4F5D1" w14:textId="77777777" w:rsidTr="003B7840">
        <w:tc>
          <w:tcPr>
            <w:tcW w:w="3888" w:type="dxa"/>
          </w:tcPr>
          <w:p w14:paraId="7632F5EA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1C10FE35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70974742" w14:textId="77777777" w:rsidTr="003B7840">
        <w:tc>
          <w:tcPr>
            <w:tcW w:w="3888" w:type="dxa"/>
          </w:tcPr>
          <w:p w14:paraId="1A874678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52A72084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639EDB50" w14:textId="77777777" w:rsidTr="003B7840">
        <w:tc>
          <w:tcPr>
            <w:tcW w:w="3888" w:type="dxa"/>
          </w:tcPr>
          <w:p w14:paraId="7695B0F9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67B3465A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6D453F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255C57EB" w14:textId="77777777" w:rsidTr="003B7840">
        <w:tc>
          <w:tcPr>
            <w:tcW w:w="3888" w:type="dxa"/>
          </w:tcPr>
          <w:p w14:paraId="60506620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76AC035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62A5A1B8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0739F766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138E1" w:rsidRPr="00E51BF5" w14:paraId="63A9D91F" w14:textId="77777777" w:rsidTr="003B7840">
        <w:tc>
          <w:tcPr>
            <w:tcW w:w="3887" w:type="dxa"/>
            <w:gridSpan w:val="3"/>
          </w:tcPr>
          <w:p w14:paraId="55D4B894" w14:textId="77777777" w:rsidR="001138E1" w:rsidRPr="00E51BF5" w:rsidRDefault="001138E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5CB9EC44" w14:textId="77777777" w:rsidR="001138E1" w:rsidRPr="002D62FB" w:rsidRDefault="006D453F" w:rsidP="003B784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2D62FB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2FE1A87D" w14:textId="77777777" w:rsidTr="003B7840">
        <w:tc>
          <w:tcPr>
            <w:tcW w:w="3887" w:type="dxa"/>
            <w:gridSpan w:val="3"/>
          </w:tcPr>
          <w:p w14:paraId="05FB7419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1AA1A3E6" w14:textId="77777777" w:rsidR="00A61861" w:rsidRPr="001A1A09" w:rsidRDefault="00392608" w:rsidP="008D0853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Li</w:t>
            </w:r>
            <w:r w:rsidR="008D0853">
              <w:rPr>
                <w:rFonts w:eastAsia="Times New Roman"/>
                <w:b/>
                <w:lang w:val="ro-RO"/>
              </w:rPr>
              <w:t>ngvistică generală M</w:t>
            </w:r>
            <w:r w:rsidR="002D62FB">
              <w:rPr>
                <w:rFonts w:eastAsia="Times New Roman"/>
                <w:b/>
                <w:lang w:val="ro-RO"/>
              </w:rPr>
              <w:t xml:space="preserve"> (MHBH0590)</w:t>
            </w:r>
          </w:p>
          <w:p w14:paraId="4619669A" w14:textId="77777777" w:rsidR="004416C7" w:rsidRDefault="002D62FB" w:rsidP="008D0853">
            <w:pPr>
              <w:spacing w:after="0" w:line="240" w:lineRule="auto"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Általános</w:t>
            </w:r>
            <w:r w:rsidR="004416C7" w:rsidRPr="004416C7">
              <w:rPr>
                <w:rFonts w:eastAsia="Times New Roman"/>
                <w:b/>
                <w:lang w:val="ro-RO"/>
              </w:rPr>
              <w:t xml:space="preserve"> nyelvészet M</w:t>
            </w:r>
          </w:p>
          <w:p w14:paraId="5781F6B0" w14:textId="77777777" w:rsidR="00D10276" w:rsidRPr="004416C7" w:rsidRDefault="004416C7" w:rsidP="008D0853">
            <w:pPr>
              <w:spacing w:after="0" w:line="240" w:lineRule="auto"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General Linguistics H</w:t>
            </w:r>
          </w:p>
        </w:tc>
      </w:tr>
      <w:tr w:rsidR="00A61861" w:rsidRPr="00E51BF5" w14:paraId="50A787B4" w14:textId="77777777" w:rsidTr="003B7840">
        <w:tc>
          <w:tcPr>
            <w:tcW w:w="3887" w:type="dxa"/>
            <w:gridSpan w:val="3"/>
          </w:tcPr>
          <w:p w14:paraId="7F09821F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2AD1E0BD" w14:textId="346ABFE2" w:rsidR="00A61861" w:rsidRPr="00E51BF5" w:rsidRDefault="00987D3A" w:rsidP="008D085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</w:t>
            </w:r>
            <w:r w:rsidR="002D62FB" w:rsidRPr="00E51BF5">
              <w:rPr>
                <w:rFonts w:eastAsia="Times New Roman"/>
                <w:lang w:val="ro-RO"/>
              </w:rPr>
              <w:t>. univ. dr.</w:t>
            </w:r>
            <w:r w:rsidR="002D62FB">
              <w:rPr>
                <w:rFonts w:eastAsia="Times New Roman"/>
                <w:lang w:val="ro-RO"/>
              </w:rPr>
              <w:t xml:space="preserve"> </w:t>
            </w:r>
            <w:r w:rsidR="008D0853">
              <w:rPr>
                <w:rFonts w:eastAsia="Times New Roman"/>
                <w:lang w:val="ro-RO"/>
              </w:rPr>
              <w:t>SUBA R</w:t>
            </w:r>
            <w:r w:rsidR="002D62FB">
              <w:rPr>
                <w:rFonts w:eastAsia="Times New Roman"/>
                <w:lang w:val="hu-HU"/>
              </w:rPr>
              <w:t>é</w:t>
            </w:r>
            <w:r w:rsidR="008D0853">
              <w:rPr>
                <w:rFonts w:eastAsia="Times New Roman"/>
                <w:lang w:val="ro-RO"/>
              </w:rPr>
              <w:t>ka</w:t>
            </w:r>
          </w:p>
        </w:tc>
      </w:tr>
      <w:tr w:rsidR="00392608" w:rsidRPr="00E51BF5" w14:paraId="79164D7D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460DE473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1E01E460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9A2ED1F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0A6FAB96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C2D3AA3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67A7B6D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281EF8E7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473F8DB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326648EA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1E2F7B26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E942511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345EC2D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330DC0D3" w14:textId="77777777" w:rsidTr="003B7840">
        <w:tc>
          <w:tcPr>
            <w:tcW w:w="1984" w:type="dxa"/>
          </w:tcPr>
          <w:p w14:paraId="19080E6E" w14:textId="77777777" w:rsidR="00392608" w:rsidRPr="00E51BF5" w:rsidRDefault="00392608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651E4822" w14:textId="77777777" w:rsidR="00392608" w:rsidRPr="00E51BF5" w:rsidRDefault="00392608" w:rsidP="008D085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55C226B4" w14:textId="77777777" w:rsidR="00392608" w:rsidRPr="00E51BF5" w:rsidRDefault="00392608" w:rsidP="003B784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1453A5E1" w14:textId="77777777" w:rsidR="00392608" w:rsidRPr="00E51BF5" w:rsidRDefault="008D0853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159" w:type="dxa"/>
          </w:tcPr>
          <w:p w14:paraId="680F5E16" w14:textId="77777777" w:rsidR="00392608" w:rsidRPr="00E51BF5" w:rsidRDefault="00392608" w:rsidP="003B784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3099586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05E1E654" w14:textId="77777777" w:rsidR="00392608" w:rsidRPr="00E51BF5" w:rsidRDefault="00392608" w:rsidP="003B784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464DD5BE" w14:textId="74EF459B" w:rsidR="00392608" w:rsidRPr="00E51BF5" w:rsidRDefault="00392608" w:rsidP="00802D1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920547">
              <w:rPr>
                <w:szCs w:val="24"/>
                <w:lang w:val="ro-RO"/>
              </w:rPr>
              <w:t>O</w:t>
            </w:r>
          </w:p>
        </w:tc>
      </w:tr>
    </w:tbl>
    <w:p w14:paraId="31AB4096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11D97D7B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40F547ED" w14:textId="77777777" w:rsidTr="00E95A7E">
        <w:tc>
          <w:tcPr>
            <w:tcW w:w="3921" w:type="dxa"/>
            <w:shd w:val="clear" w:color="auto" w:fill="auto"/>
          </w:tcPr>
          <w:p w14:paraId="5FAF99F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6EB39BF5" w14:textId="77777777" w:rsidR="008027E9" w:rsidRPr="00E51BF5" w:rsidRDefault="008D0853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14:paraId="7B72FB6A" w14:textId="77777777" w:rsidR="008027E9" w:rsidRPr="00E51BF5" w:rsidRDefault="008027E9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052403A1" w14:textId="77777777" w:rsidR="008027E9" w:rsidRPr="00E51BF5" w:rsidRDefault="008D0853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14:paraId="51ABDD2D" w14:textId="77777777" w:rsidR="008027E9" w:rsidRPr="00E51BF5" w:rsidRDefault="008027E9" w:rsidP="003B784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4950EF33" w14:textId="77777777" w:rsidR="001E4C42" w:rsidRPr="00E51BF5" w:rsidRDefault="008D0853" w:rsidP="008D085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</w:tr>
      <w:tr w:rsidR="008027E9" w:rsidRPr="00E51BF5" w14:paraId="2D74BFCF" w14:textId="77777777" w:rsidTr="00E95A7E">
        <w:tc>
          <w:tcPr>
            <w:tcW w:w="3921" w:type="dxa"/>
            <w:shd w:val="clear" w:color="auto" w:fill="auto"/>
          </w:tcPr>
          <w:p w14:paraId="1CD5251E" w14:textId="77777777" w:rsidR="008027E9" w:rsidRPr="00E51BF5" w:rsidRDefault="008027E9" w:rsidP="003B784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37FDB775" w14:textId="77777777" w:rsidR="008027E9" w:rsidRPr="00E51BF5" w:rsidRDefault="008D0853" w:rsidP="008D085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97" w:type="dxa"/>
            <w:shd w:val="clear" w:color="auto" w:fill="auto"/>
          </w:tcPr>
          <w:p w14:paraId="1B73C8E4" w14:textId="77777777" w:rsidR="008027E9" w:rsidRPr="00E51BF5" w:rsidRDefault="008027E9" w:rsidP="003B784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43EE8DF2" w14:textId="77777777" w:rsidR="008027E9" w:rsidRPr="00E51BF5" w:rsidRDefault="008D0853" w:rsidP="008D085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06" w:type="dxa"/>
            <w:shd w:val="clear" w:color="auto" w:fill="auto"/>
          </w:tcPr>
          <w:p w14:paraId="31C862D1" w14:textId="77777777" w:rsidR="008027E9" w:rsidRPr="00E51BF5" w:rsidRDefault="008027E9" w:rsidP="003B784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6F83C6F6" w14:textId="77777777" w:rsidR="001E4C42" w:rsidRPr="00E51BF5" w:rsidRDefault="008D0853" w:rsidP="008D085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</w:tr>
      <w:tr w:rsidR="008027E9" w:rsidRPr="00E51BF5" w14:paraId="7094E98C" w14:textId="77777777" w:rsidTr="00E95A7E">
        <w:tc>
          <w:tcPr>
            <w:tcW w:w="9458" w:type="dxa"/>
            <w:gridSpan w:val="5"/>
            <w:shd w:val="clear" w:color="auto" w:fill="auto"/>
          </w:tcPr>
          <w:p w14:paraId="72EF262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998" w:type="dxa"/>
            <w:shd w:val="clear" w:color="auto" w:fill="auto"/>
          </w:tcPr>
          <w:p w14:paraId="5B97FB6A" w14:textId="77777777" w:rsidR="008027E9" w:rsidRPr="00E51BF5" w:rsidRDefault="008027E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382C9737" w14:textId="77777777" w:rsidTr="00E95A7E">
        <w:tc>
          <w:tcPr>
            <w:tcW w:w="9458" w:type="dxa"/>
            <w:gridSpan w:val="5"/>
            <w:shd w:val="clear" w:color="auto" w:fill="auto"/>
          </w:tcPr>
          <w:p w14:paraId="1BD08A1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998" w:type="dxa"/>
            <w:shd w:val="clear" w:color="auto" w:fill="auto"/>
          </w:tcPr>
          <w:p w14:paraId="2A4F1D87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392608" w:rsidRPr="00E51BF5" w14:paraId="5E22FEF7" w14:textId="77777777" w:rsidTr="00E95A7E">
        <w:tc>
          <w:tcPr>
            <w:tcW w:w="9458" w:type="dxa"/>
            <w:gridSpan w:val="5"/>
            <w:shd w:val="clear" w:color="auto" w:fill="auto"/>
          </w:tcPr>
          <w:p w14:paraId="21B1E449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998" w:type="dxa"/>
            <w:shd w:val="clear" w:color="auto" w:fill="auto"/>
          </w:tcPr>
          <w:p w14:paraId="408F8D0D" w14:textId="77777777" w:rsidR="00392608" w:rsidRPr="00E51BF5" w:rsidRDefault="00392608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E51BF5">
              <w:rPr>
                <w:rFonts w:eastAsia="Times New Roman"/>
                <w:color w:val="000000"/>
                <w:lang w:val="ro-RO"/>
              </w:rPr>
              <w:t>5</w:t>
            </w:r>
          </w:p>
        </w:tc>
      </w:tr>
      <w:tr w:rsidR="00392608" w:rsidRPr="00E51BF5" w14:paraId="3CA945A5" w14:textId="77777777" w:rsidTr="00E95A7E">
        <w:tc>
          <w:tcPr>
            <w:tcW w:w="9458" w:type="dxa"/>
            <w:gridSpan w:val="5"/>
            <w:shd w:val="clear" w:color="auto" w:fill="auto"/>
          </w:tcPr>
          <w:p w14:paraId="7F9C425D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seminarii/laboratoare, teme, referate, portofolii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998" w:type="dxa"/>
            <w:shd w:val="clear" w:color="auto" w:fill="auto"/>
          </w:tcPr>
          <w:p w14:paraId="28AAD48F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29BDD5EC" w14:textId="77777777" w:rsidTr="00E95A7E">
        <w:tc>
          <w:tcPr>
            <w:tcW w:w="9458" w:type="dxa"/>
            <w:gridSpan w:val="5"/>
            <w:shd w:val="clear" w:color="auto" w:fill="auto"/>
          </w:tcPr>
          <w:p w14:paraId="44E1A0A9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998" w:type="dxa"/>
            <w:shd w:val="clear" w:color="auto" w:fill="auto"/>
          </w:tcPr>
          <w:p w14:paraId="1EDD4572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92608" w:rsidRPr="00E51BF5" w14:paraId="113C024F" w14:textId="77777777" w:rsidTr="00E95A7E">
        <w:tc>
          <w:tcPr>
            <w:tcW w:w="9458" w:type="dxa"/>
            <w:gridSpan w:val="5"/>
            <w:shd w:val="clear" w:color="auto" w:fill="auto"/>
          </w:tcPr>
          <w:p w14:paraId="72C4785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998" w:type="dxa"/>
            <w:shd w:val="clear" w:color="auto" w:fill="auto"/>
          </w:tcPr>
          <w:p w14:paraId="764A08AE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56D53137" w14:textId="77777777" w:rsidTr="00E95A7E">
        <w:tc>
          <w:tcPr>
            <w:tcW w:w="9458" w:type="dxa"/>
            <w:gridSpan w:val="5"/>
            <w:shd w:val="clear" w:color="auto" w:fill="auto"/>
          </w:tcPr>
          <w:p w14:paraId="4631575B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998" w:type="dxa"/>
            <w:shd w:val="clear" w:color="auto" w:fill="auto"/>
          </w:tcPr>
          <w:p w14:paraId="6DF122E9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392608" w:rsidRPr="00E51BF5" w14:paraId="1F28709B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4BCDEC76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35F550C5" w14:textId="77777777" w:rsidR="00392608" w:rsidRPr="00E51BF5" w:rsidRDefault="00802D16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22</w:t>
            </w:r>
          </w:p>
        </w:tc>
      </w:tr>
      <w:tr w:rsidR="00E95A7E" w:rsidRPr="00E51BF5" w14:paraId="707DABF3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6D74B862" w14:textId="77777777" w:rsidR="00E95A7E" w:rsidRPr="00E51BF5" w:rsidRDefault="00E95A7E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31D26BC8" w14:textId="77777777" w:rsidR="00E95A7E" w:rsidRPr="00E51BF5" w:rsidRDefault="00802D16" w:rsidP="00E95A7E">
            <w:pPr>
              <w:spacing w:after="0" w:line="240" w:lineRule="auto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50</w:t>
            </w:r>
          </w:p>
        </w:tc>
      </w:tr>
      <w:tr w:rsidR="00E95A7E" w:rsidRPr="00E51BF5" w14:paraId="06EABC14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203A7062" w14:textId="77777777" w:rsidR="00E95A7E" w:rsidRPr="00E51BF5" w:rsidRDefault="00E95A7E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7CF610AD" w14:textId="77777777" w:rsidR="00E95A7E" w:rsidRPr="00E51BF5" w:rsidRDefault="008D0853" w:rsidP="00E95A7E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2</w:t>
            </w:r>
          </w:p>
        </w:tc>
      </w:tr>
    </w:tbl>
    <w:p w14:paraId="763E0F39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45DAF43E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2FF5A2ED" w14:textId="77777777" w:rsidTr="003B7840">
        <w:tc>
          <w:tcPr>
            <w:tcW w:w="3888" w:type="dxa"/>
          </w:tcPr>
          <w:p w14:paraId="7BD8D62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489C51A9" w14:textId="77777777" w:rsidR="008027E9" w:rsidRPr="00E51BF5" w:rsidRDefault="008027E9" w:rsidP="003B7840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1480765F" w14:textId="77777777" w:rsidTr="003B7840">
        <w:tc>
          <w:tcPr>
            <w:tcW w:w="3888" w:type="dxa"/>
          </w:tcPr>
          <w:p w14:paraId="7D783277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0734ED4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1F49D45C" w14:textId="77777777" w:rsidR="009D4FD8" w:rsidRPr="00E51BF5" w:rsidRDefault="009D4FD8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6E648996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0703875C" w14:textId="77777777" w:rsidTr="003B7840">
        <w:tc>
          <w:tcPr>
            <w:tcW w:w="3896" w:type="dxa"/>
          </w:tcPr>
          <w:p w14:paraId="21FF3A3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57698AED" w14:textId="77777777" w:rsidR="008027E9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2E853F5D" w14:textId="77777777" w:rsidTr="003B7840">
        <w:tc>
          <w:tcPr>
            <w:tcW w:w="3896" w:type="dxa"/>
          </w:tcPr>
          <w:p w14:paraId="2D6C7F0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3653237D" w14:textId="77777777" w:rsidR="008027E9" w:rsidRPr="00E51BF5" w:rsidRDefault="00ED4EFF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48DC9B2A" w14:textId="77777777" w:rsidR="00ED4EFF" w:rsidRPr="00E51BF5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523985EE" w14:textId="77777777" w:rsidR="008027E9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03D3D5FA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68982760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70C49B7A" w14:textId="77777777" w:rsidR="00392608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418D9859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701A6014" w14:textId="77777777" w:rsidR="00392608" w:rsidRPr="00E51BF5" w:rsidRDefault="00392608" w:rsidP="003B7840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3EE4BFA0" w14:textId="77777777" w:rsidR="00666848" w:rsidRPr="00E51BF5" w:rsidRDefault="00392608" w:rsidP="003B7840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70D2D61C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302B8E4E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11FF068D" w14:textId="77777777" w:rsidR="00392608" w:rsidRPr="00E51BF5" w:rsidRDefault="00392608" w:rsidP="003B784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7FAB1C3F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62679299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3A6FDF35" w14:textId="77777777" w:rsidR="0066684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636CD28D" w14:textId="77777777" w:rsidR="00BF122D" w:rsidRPr="00E51BF5" w:rsidRDefault="00BF122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60D65817" w14:textId="77777777" w:rsidR="008027E9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19FE67A3" w14:textId="77777777" w:rsidR="00E51BF5" w:rsidRPr="00E51BF5" w:rsidRDefault="00E51BF5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22A1D07D" w14:textId="77777777" w:rsidTr="003B7840">
        <w:tc>
          <w:tcPr>
            <w:tcW w:w="3888" w:type="dxa"/>
            <w:shd w:val="clear" w:color="auto" w:fill="auto"/>
          </w:tcPr>
          <w:p w14:paraId="4FDAA6A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1238A86B" w14:textId="77777777" w:rsidR="008027E9" w:rsidRPr="00E51BF5" w:rsidRDefault="008D0853" w:rsidP="008D085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8B06C8">
              <w:rPr>
                <w:color w:val="000000"/>
                <w:spacing w:val="-1"/>
                <w:szCs w:val="24"/>
                <w:lang w:val="ro-RO"/>
              </w:rPr>
              <w:t>Obiective generale: cursul propune parcurgerea principalelor teorii</w:t>
            </w:r>
            <w:r>
              <w:rPr>
                <w:color w:val="000000"/>
                <w:spacing w:val="-1"/>
                <w:szCs w:val="24"/>
                <w:lang w:val="ro-RO"/>
              </w:rPr>
              <w:t>,</w:t>
            </w:r>
            <w:r w:rsidRPr="008B06C8">
              <w:rPr>
                <w:color w:val="000000"/>
                <w:spacing w:val="-1"/>
                <w:szCs w:val="24"/>
                <w:lang w:val="ro-RO"/>
              </w:rPr>
              <w:t xml:space="preserve">  prezentarea fundamentelor conceptuale, prezentarea modelelor lingvistice, precum şi analiza sistematică a fenomenelor</w:t>
            </w:r>
            <w:r>
              <w:rPr>
                <w:color w:val="000000"/>
                <w:spacing w:val="-1"/>
                <w:szCs w:val="24"/>
                <w:lang w:val="ro-RO"/>
              </w:rPr>
              <w:t xml:space="preserve"> lingvistice.</w:t>
            </w:r>
            <w:r w:rsidRPr="008B06C8">
              <w:rPr>
                <w:color w:val="000000"/>
                <w:spacing w:val="-1"/>
                <w:szCs w:val="24"/>
                <w:lang w:val="ro-RO"/>
              </w:rPr>
              <w:t xml:space="preserve"> </w:t>
            </w:r>
          </w:p>
        </w:tc>
      </w:tr>
      <w:tr w:rsidR="008027E9" w:rsidRPr="001A1A09" w14:paraId="7C615A2F" w14:textId="77777777" w:rsidTr="003B7840">
        <w:tc>
          <w:tcPr>
            <w:tcW w:w="3888" w:type="dxa"/>
            <w:shd w:val="clear" w:color="auto" w:fill="auto"/>
          </w:tcPr>
          <w:p w14:paraId="34C8070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78C36E09" w14:textId="77777777" w:rsidR="00D24033" w:rsidRPr="00E51BF5" w:rsidRDefault="008D0853" w:rsidP="003B784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8B06C8">
              <w:rPr>
                <w:color w:val="000000"/>
                <w:spacing w:val="-1"/>
                <w:szCs w:val="24"/>
                <w:lang w:val="ro-RO"/>
              </w:rPr>
              <w:t>Obiectivele specifice ale cursului sunt axate pe formarea aptitudinilor şi a abilităţilor necesare interpretării şi examinării fenomenelor limbii, în vederea cunoaşterii teoretice al domeniului precum şi corelarea acestor cunoştinţe cu practica comunicatorului.</w:t>
            </w:r>
          </w:p>
        </w:tc>
      </w:tr>
    </w:tbl>
    <w:p w14:paraId="3DCDB449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178A2E10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2B15D19D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2977"/>
        <w:gridCol w:w="2494"/>
      </w:tblGrid>
      <w:tr w:rsidR="00774235" w:rsidRPr="00E51BF5" w14:paraId="5F43648D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7F17378B" w14:textId="77777777" w:rsidR="00774235" w:rsidRPr="00E51BF5" w:rsidRDefault="0077423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977" w:type="dxa"/>
            <w:shd w:val="clear" w:color="auto" w:fill="auto"/>
          </w:tcPr>
          <w:p w14:paraId="38BAC296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494" w:type="dxa"/>
            <w:shd w:val="clear" w:color="auto" w:fill="auto"/>
          </w:tcPr>
          <w:p w14:paraId="6FC7CE54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57CB4442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37754EC3" w14:textId="77777777" w:rsidR="00850029" w:rsidRPr="006D453F" w:rsidRDefault="008D0853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rFonts w:eastAsia="Times New Roman"/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 xml:space="preserve">Curs introductiv: noţiuni generale ale lingvisticii.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A5B6B01" w14:textId="77777777" w:rsidR="003B7840" w:rsidRPr="00E51BF5" w:rsidRDefault="00850029" w:rsidP="006D453F">
            <w:p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="003B7840"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1024C8E0" w14:textId="77777777" w:rsidR="003B7840" w:rsidRPr="00E51BF5" w:rsidRDefault="003B7840" w:rsidP="006D453F">
            <w:p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6E3B0619" w14:textId="77777777" w:rsidR="003B7840" w:rsidRPr="00E51BF5" w:rsidRDefault="003B7840" w:rsidP="006D453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6965ED48" w14:textId="77777777" w:rsidR="003B7840" w:rsidRPr="00E51BF5" w:rsidRDefault="003B7840" w:rsidP="006D453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064CDB45" w14:textId="77777777" w:rsidR="003B7840" w:rsidRPr="00E51BF5" w:rsidRDefault="003B7840" w:rsidP="006D453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4D84A00F" w14:textId="77777777" w:rsidR="003B7840" w:rsidRPr="00E51BF5" w:rsidRDefault="003B7840" w:rsidP="006D453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73FD4FEA" w14:textId="77777777" w:rsidR="003B7840" w:rsidRPr="00E51BF5" w:rsidRDefault="003B7840" w:rsidP="006D453F">
            <w:p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57EFB67F" w14:textId="77777777" w:rsidR="003B7840" w:rsidRPr="00E51BF5" w:rsidRDefault="003B7840" w:rsidP="006D453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223914F5" w14:textId="77777777" w:rsidR="003B7840" w:rsidRPr="00E51BF5" w:rsidRDefault="003B7840" w:rsidP="006D453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02E5C749" w14:textId="77777777" w:rsidR="003B7840" w:rsidRPr="00E51BF5" w:rsidRDefault="003B7840" w:rsidP="006D453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2494" w:type="dxa"/>
            <w:shd w:val="clear" w:color="auto" w:fill="auto"/>
          </w:tcPr>
          <w:p w14:paraId="441AEB8C" w14:textId="77777777" w:rsidR="00850029" w:rsidRPr="00E51BF5" w:rsidRDefault="00F860AD" w:rsidP="006D453F">
            <w:pPr>
              <w:spacing w:after="0" w:line="240" w:lineRule="auto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5444A3A2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2C06861F" w14:textId="77777777" w:rsidR="00850029" w:rsidRPr="006D453F" w:rsidRDefault="008D0853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 xml:space="preserve">Limbă şi comunicare. Structura diferitelor sisteme de semne, definirea semnului lingvistic. </w:t>
            </w:r>
          </w:p>
        </w:tc>
        <w:tc>
          <w:tcPr>
            <w:tcW w:w="2977" w:type="dxa"/>
            <w:vMerge/>
            <w:shd w:val="clear" w:color="auto" w:fill="auto"/>
          </w:tcPr>
          <w:p w14:paraId="11542D8E" w14:textId="77777777" w:rsidR="00850029" w:rsidRPr="00E51BF5" w:rsidRDefault="00850029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65644F57" w14:textId="77777777" w:rsidR="00850029" w:rsidRPr="00E51BF5" w:rsidRDefault="00F860AD" w:rsidP="006D453F">
            <w:pPr>
              <w:spacing w:after="0" w:line="240" w:lineRule="auto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4AAF10B6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68464E53" w14:textId="77777777" w:rsidR="00850029" w:rsidRPr="006D453F" w:rsidRDefault="008D0853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 xml:space="preserve">Sistemul limbii. </w:t>
            </w:r>
          </w:p>
        </w:tc>
        <w:tc>
          <w:tcPr>
            <w:tcW w:w="2977" w:type="dxa"/>
            <w:vMerge/>
            <w:shd w:val="clear" w:color="auto" w:fill="auto"/>
          </w:tcPr>
          <w:p w14:paraId="6C37A323" w14:textId="77777777" w:rsidR="00850029" w:rsidRPr="00E51BF5" w:rsidRDefault="00850029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2D7A5F84" w14:textId="77777777" w:rsidR="00850029" w:rsidRPr="00E51BF5" w:rsidRDefault="00F860AD" w:rsidP="006D453F">
            <w:pPr>
              <w:spacing w:after="0" w:line="240" w:lineRule="auto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6D453F" w:rsidRPr="00E51BF5" w14:paraId="279D8E8A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3920F414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Sistemul semiotic.</w:t>
            </w:r>
          </w:p>
        </w:tc>
        <w:tc>
          <w:tcPr>
            <w:tcW w:w="2977" w:type="dxa"/>
            <w:vMerge/>
            <w:shd w:val="clear" w:color="auto" w:fill="auto"/>
          </w:tcPr>
          <w:p w14:paraId="40407490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03C4953A" w14:textId="77777777" w:rsidR="006D453F" w:rsidRDefault="006D453F" w:rsidP="006D453F">
            <w:pPr>
              <w:spacing w:after="0"/>
              <w:jc w:val="center"/>
            </w:pPr>
            <w:r w:rsidRPr="00CE7990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0B8E9E47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62720E03" w14:textId="77777777" w:rsidR="006D453F" w:rsidRPr="006D453F" w:rsidRDefault="006D453F" w:rsidP="006D453F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26"/>
              </w:tabs>
              <w:suppressAutoHyphens/>
              <w:spacing w:after="0"/>
              <w:ind w:left="284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Locul şi importanţa semnului lingvistic printre diferitele sisteme semiotice.</w:t>
            </w:r>
          </w:p>
        </w:tc>
        <w:tc>
          <w:tcPr>
            <w:tcW w:w="2977" w:type="dxa"/>
            <w:vMerge/>
            <w:shd w:val="clear" w:color="auto" w:fill="auto"/>
          </w:tcPr>
          <w:p w14:paraId="4C9066AD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5ABFCFAA" w14:textId="77777777" w:rsidR="006D453F" w:rsidRDefault="006D453F" w:rsidP="006D453F">
            <w:pPr>
              <w:spacing w:after="0"/>
              <w:jc w:val="center"/>
            </w:pPr>
            <w:r w:rsidRPr="00CE7990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0E047916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795AC462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Relaţia semn-semnificaţie.</w:t>
            </w:r>
          </w:p>
        </w:tc>
        <w:tc>
          <w:tcPr>
            <w:tcW w:w="2977" w:type="dxa"/>
            <w:vMerge/>
            <w:shd w:val="clear" w:color="auto" w:fill="auto"/>
          </w:tcPr>
          <w:p w14:paraId="2A2CE574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176B64BE" w14:textId="77777777" w:rsidR="006D453F" w:rsidRDefault="006D453F" w:rsidP="006D453F">
            <w:pPr>
              <w:spacing w:after="0"/>
              <w:jc w:val="center"/>
            </w:pPr>
            <w:r w:rsidRPr="00CE7990">
              <w:rPr>
                <w:szCs w:val="24"/>
                <w:lang w:val="ro-RO"/>
              </w:rPr>
              <w:t>2 ore</w:t>
            </w:r>
          </w:p>
        </w:tc>
      </w:tr>
      <w:tr w:rsidR="00850029" w:rsidRPr="00E51BF5" w14:paraId="21816DAB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5CA5ECF9" w14:textId="77777777" w:rsidR="00850029" w:rsidRPr="006D453F" w:rsidRDefault="00732DEB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Limbaj şi limbă.</w:t>
            </w:r>
          </w:p>
        </w:tc>
        <w:tc>
          <w:tcPr>
            <w:tcW w:w="2977" w:type="dxa"/>
            <w:vMerge/>
            <w:shd w:val="clear" w:color="auto" w:fill="auto"/>
          </w:tcPr>
          <w:p w14:paraId="6480FE32" w14:textId="77777777" w:rsidR="00850029" w:rsidRPr="00E51BF5" w:rsidRDefault="00850029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43A4BA07" w14:textId="77777777" w:rsidR="00850029" w:rsidRPr="00E51BF5" w:rsidRDefault="00F860AD" w:rsidP="006D453F">
            <w:pPr>
              <w:spacing w:after="0" w:line="240" w:lineRule="auto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732DEB" w:rsidRPr="00E51BF5" w14:paraId="4BE476AE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7D590BC3" w14:textId="77777777" w:rsidR="00732DEB" w:rsidRPr="006D453F" w:rsidRDefault="00732DEB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Definiţia gramaticii; felul gramaticilor practicate; secţiunile gramaticii clasice, secţiunile noilor gramatici.</w:t>
            </w:r>
          </w:p>
        </w:tc>
        <w:tc>
          <w:tcPr>
            <w:tcW w:w="2977" w:type="dxa"/>
            <w:vMerge/>
            <w:shd w:val="clear" w:color="auto" w:fill="auto"/>
          </w:tcPr>
          <w:p w14:paraId="5C254574" w14:textId="77777777" w:rsidR="00732DEB" w:rsidRPr="00E51BF5" w:rsidRDefault="00732DEB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1CE658AC" w14:textId="77777777" w:rsidR="00732DEB" w:rsidRDefault="00732DEB" w:rsidP="006D453F">
            <w:pPr>
              <w:spacing w:after="0"/>
              <w:jc w:val="center"/>
            </w:pPr>
            <w:r w:rsidRPr="00D532F2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6B0452C7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16A9D3E5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color w:val="000000"/>
                <w:szCs w:val="24"/>
                <w:lang w:val="ro-RO"/>
              </w:rPr>
              <w:t>Elementele limbii: fonem, morfem, cuvânt, sintagme, propoziţii.</w:t>
            </w:r>
          </w:p>
        </w:tc>
        <w:tc>
          <w:tcPr>
            <w:tcW w:w="2977" w:type="dxa"/>
            <w:vMerge/>
            <w:shd w:val="clear" w:color="auto" w:fill="auto"/>
          </w:tcPr>
          <w:p w14:paraId="0C32B423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1035622F" w14:textId="77777777" w:rsidR="006D453F" w:rsidRDefault="006D453F" w:rsidP="006D453F">
            <w:pPr>
              <w:spacing w:after="0"/>
              <w:jc w:val="center"/>
            </w:pPr>
            <w:r w:rsidRPr="007833FF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3E86F74A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1FE894DB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0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rFonts w:eastAsia="Times New Roman"/>
                <w:szCs w:val="24"/>
                <w:lang w:val="ro-RO"/>
              </w:rPr>
              <w:t>Complexitatea limbii.</w:t>
            </w:r>
          </w:p>
        </w:tc>
        <w:tc>
          <w:tcPr>
            <w:tcW w:w="2977" w:type="dxa"/>
            <w:vMerge/>
            <w:shd w:val="clear" w:color="auto" w:fill="auto"/>
          </w:tcPr>
          <w:p w14:paraId="38A35313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6CB6DE9C" w14:textId="77777777" w:rsidR="006D453F" w:rsidRDefault="006D453F" w:rsidP="006D453F">
            <w:pPr>
              <w:spacing w:after="0"/>
              <w:jc w:val="center"/>
            </w:pPr>
            <w:r w:rsidRPr="007833FF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6CF25F06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5AC9AC05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0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rFonts w:eastAsia="Times New Roman"/>
                <w:szCs w:val="24"/>
                <w:lang w:val="ro-RO"/>
              </w:rPr>
              <w:t>Competențe cognitive și limbă.</w:t>
            </w:r>
          </w:p>
        </w:tc>
        <w:tc>
          <w:tcPr>
            <w:tcW w:w="2977" w:type="dxa"/>
            <w:vMerge/>
            <w:shd w:val="clear" w:color="auto" w:fill="auto"/>
          </w:tcPr>
          <w:p w14:paraId="05D9295E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77149DB0" w14:textId="77777777" w:rsidR="006D453F" w:rsidRDefault="006D453F" w:rsidP="006D453F">
            <w:pPr>
              <w:spacing w:after="0"/>
              <w:jc w:val="center"/>
            </w:pPr>
            <w:r w:rsidRPr="007833FF">
              <w:rPr>
                <w:szCs w:val="24"/>
                <w:lang w:val="ro-RO"/>
              </w:rPr>
              <w:t>2 ore</w:t>
            </w:r>
          </w:p>
        </w:tc>
      </w:tr>
      <w:tr w:rsidR="006D453F" w:rsidRPr="00E51BF5" w14:paraId="207E782B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29344D36" w14:textId="77777777" w:rsidR="006D453F" w:rsidRPr="006D453F" w:rsidRDefault="006D453F" w:rsidP="006D453F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0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rFonts w:eastAsia="Times New Roman"/>
                <w:szCs w:val="24"/>
                <w:lang w:val="ro-RO"/>
              </w:rPr>
              <w:t>Universalism. Determinism. Relativism.</w:t>
            </w:r>
          </w:p>
        </w:tc>
        <w:tc>
          <w:tcPr>
            <w:tcW w:w="2977" w:type="dxa"/>
            <w:vMerge/>
            <w:shd w:val="clear" w:color="auto" w:fill="auto"/>
          </w:tcPr>
          <w:p w14:paraId="5682D6F9" w14:textId="77777777" w:rsidR="006D453F" w:rsidRPr="00E51BF5" w:rsidRDefault="006D453F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747DFDCC" w14:textId="77777777" w:rsidR="006D453F" w:rsidRDefault="006D453F" w:rsidP="006D453F">
            <w:pPr>
              <w:spacing w:after="0"/>
              <w:jc w:val="center"/>
            </w:pPr>
            <w:r w:rsidRPr="007833FF">
              <w:rPr>
                <w:szCs w:val="24"/>
                <w:lang w:val="ro-RO"/>
              </w:rPr>
              <w:t>2 ore</w:t>
            </w:r>
          </w:p>
        </w:tc>
      </w:tr>
      <w:tr w:rsidR="00732DEB" w:rsidRPr="00E51BF5" w14:paraId="0A1D25B8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2ED4C33E" w14:textId="77777777" w:rsidR="00732DEB" w:rsidRPr="006D453F" w:rsidRDefault="00732DEB" w:rsidP="006D453F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0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rFonts w:eastAsia="Times New Roman"/>
                <w:szCs w:val="24"/>
                <w:lang w:val="ro-RO"/>
              </w:rPr>
              <w:lastRenderedPageBreak/>
              <w:t>Limbă și societate.</w:t>
            </w:r>
          </w:p>
        </w:tc>
        <w:tc>
          <w:tcPr>
            <w:tcW w:w="2977" w:type="dxa"/>
            <w:vMerge/>
            <w:shd w:val="clear" w:color="auto" w:fill="auto"/>
          </w:tcPr>
          <w:p w14:paraId="3352EF26" w14:textId="77777777" w:rsidR="00732DEB" w:rsidRPr="00E51BF5" w:rsidRDefault="00732DEB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0FAD658A" w14:textId="77777777" w:rsidR="00732DEB" w:rsidRDefault="00732DEB" w:rsidP="006D453F">
            <w:pPr>
              <w:spacing w:after="0"/>
              <w:jc w:val="center"/>
            </w:pPr>
            <w:r w:rsidRPr="00D532F2">
              <w:rPr>
                <w:szCs w:val="24"/>
                <w:lang w:val="ro-RO"/>
              </w:rPr>
              <w:t>2 ore</w:t>
            </w:r>
          </w:p>
        </w:tc>
      </w:tr>
      <w:tr w:rsidR="00732DEB" w:rsidRPr="00E51BF5" w14:paraId="7043CB26" w14:textId="77777777" w:rsidTr="006D453F">
        <w:trPr>
          <w:trHeight w:val="20"/>
        </w:trPr>
        <w:tc>
          <w:tcPr>
            <w:tcW w:w="5211" w:type="dxa"/>
            <w:shd w:val="clear" w:color="auto" w:fill="auto"/>
          </w:tcPr>
          <w:p w14:paraId="1B3CBB5E" w14:textId="77777777" w:rsidR="00732DEB" w:rsidRPr="006D453F" w:rsidRDefault="00732DEB" w:rsidP="006D453F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0"/>
              </w:tabs>
              <w:suppressAutoHyphens/>
              <w:spacing w:after="0" w:line="240" w:lineRule="auto"/>
              <w:ind w:left="284" w:right="-20" w:hanging="284"/>
              <w:rPr>
                <w:szCs w:val="24"/>
                <w:lang w:val="ro-RO"/>
              </w:rPr>
            </w:pPr>
            <w:r w:rsidRPr="006D453F">
              <w:rPr>
                <w:rFonts w:eastAsia="Times New Roman"/>
                <w:szCs w:val="24"/>
                <w:lang w:val="ro-RO"/>
              </w:rPr>
              <w:t>Registre lingvistice</w:t>
            </w:r>
          </w:p>
        </w:tc>
        <w:tc>
          <w:tcPr>
            <w:tcW w:w="2977" w:type="dxa"/>
            <w:vMerge/>
            <w:shd w:val="clear" w:color="auto" w:fill="auto"/>
          </w:tcPr>
          <w:p w14:paraId="03ECCF7B" w14:textId="77777777" w:rsidR="00732DEB" w:rsidRPr="00E51BF5" w:rsidRDefault="00732DEB" w:rsidP="006D453F">
            <w:pPr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2494" w:type="dxa"/>
            <w:shd w:val="clear" w:color="auto" w:fill="auto"/>
          </w:tcPr>
          <w:p w14:paraId="2EE05C5B" w14:textId="77777777" w:rsidR="00732DEB" w:rsidRDefault="00732DEB" w:rsidP="006D453F">
            <w:pPr>
              <w:spacing w:after="0"/>
              <w:jc w:val="center"/>
            </w:pPr>
            <w:r w:rsidRPr="00D532F2">
              <w:rPr>
                <w:szCs w:val="24"/>
                <w:lang w:val="ro-RO"/>
              </w:rPr>
              <w:t>2 ore</w:t>
            </w:r>
          </w:p>
        </w:tc>
      </w:tr>
      <w:tr w:rsidR="00850029" w:rsidRPr="00E51BF5" w14:paraId="41ECD0F6" w14:textId="77777777" w:rsidTr="006D453F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73D56491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5C8000F1" w14:textId="77777777" w:rsidR="00F860AD" w:rsidRPr="009E0F56" w:rsidRDefault="00F860AD" w:rsidP="00F860A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Cs w:val="24"/>
                <w:lang w:val="hu-HU"/>
              </w:rPr>
            </w:pPr>
            <w:r w:rsidRPr="009E0F56">
              <w:rPr>
                <w:szCs w:val="24"/>
                <w:lang w:val="hu-HU"/>
              </w:rPr>
              <w:t xml:space="preserve">A. Jászó Anna: A magyar nyelv könyve. Trezor Kiadó, Budapest, 2007. </w:t>
            </w:r>
            <w:r>
              <w:rPr>
                <w:szCs w:val="24"/>
                <w:lang w:val="hu-HU"/>
              </w:rPr>
              <w:t>*</w:t>
            </w:r>
          </w:p>
          <w:p w14:paraId="35B0F78A" w14:textId="77777777" w:rsidR="00F860AD" w:rsidRPr="009E0F56" w:rsidRDefault="00F860AD" w:rsidP="00F860A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Cs w:val="24"/>
                <w:lang w:val="hu-HU"/>
              </w:rPr>
            </w:pPr>
            <w:r w:rsidRPr="009E0F56">
              <w:rPr>
                <w:szCs w:val="24"/>
                <w:lang w:val="hu-HU"/>
              </w:rPr>
              <w:t xml:space="preserve">Kálmán László – Trón Viktor: Bevezetés a nyelvtudományba. Tinta Könyvkiadó, Budapest, 2007. </w:t>
            </w:r>
            <w:r>
              <w:rPr>
                <w:szCs w:val="24"/>
                <w:lang w:val="hu-HU"/>
              </w:rPr>
              <w:t>*</w:t>
            </w:r>
          </w:p>
          <w:p w14:paraId="611548BD" w14:textId="77777777" w:rsidR="00F860AD" w:rsidRPr="009E0F56" w:rsidRDefault="00F860AD" w:rsidP="00F860A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Cs w:val="24"/>
                <w:lang w:val="hu-HU"/>
              </w:rPr>
            </w:pPr>
            <w:r w:rsidRPr="009E0F56">
              <w:rPr>
                <w:szCs w:val="24"/>
                <w:lang w:val="hu-HU"/>
              </w:rPr>
              <w:t>Telegdi Zsigmond: Bevezetés az általános nyelvészetbe. Nemzeti Tankönyvkiadó, Bp., 1995.</w:t>
            </w:r>
            <w:r>
              <w:rPr>
                <w:szCs w:val="24"/>
                <w:lang w:val="hu-HU"/>
              </w:rPr>
              <w:t>*</w:t>
            </w:r>
          </w:p>
          <w:p w14:paraId="0894722D" w14:textId="77777777" w:rsidR="00850029" w:rsidRPr="006D453F" w:rsidRDefault="00F860AD" w:rsidP="006D453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Cs w:val="24"/>
                <w:lang w:val="hu-HU"/>
              </w:rPr>
            </w:pPr>
            <w:r w:rsidRPr="009E0F56">
              <w:rPr>
                <w:szCs w:val="24"/>
                <w:lang w:val="hu-HU"/>
              </w:rPr>
              <w:t>Kenesei István (</w:t>
            </w:r>
            <w:r w:rsidR="00B11823">
              <w:rPr>
                <w:szCs w:val="24"/>
                <w:lang w:val="hu-HU"/>
              </w:rPr>
              <w:t>ed</w:t>
            </w:r>
            <w:r w:rsidRPr="009E0F56">
              <w:rPr>
                <w:szCs w:val="24"/>
                <w:lang w:val="hu-HU"/>
              </w:rPr>
              <w:t xml:space="preserve">.): A nyelv és a nyelvek. Akadémiai Kiadó, Bp., 1995. </w:t>
            </w:r>
            <w:r>
              <w:rPr>
                <w:szCs w:val="24"/>
                <w:lang w:val="hu-HU"/>
              </w:rPr>
              <w:t>*</w:t>
            </w:r>
          </w:p>
        </w:tc>
      </w:tr>
    </w:tbl>
    <w:p w14:paraId="35193214" w14:textId="77777777" w:rsidR="00744DDD" w:rsidRPr="00E51BF5" w:rsidRDefault="00744DD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22A2F266" w14:textId="77777777" w:rsidR="00E51BF5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1A1A09" w14:paraId="29EBAE75" w14:textId="77777777" w:rsidTr="00E51BF5">
        <w:tc>
          <w:tcPr>
            <w:tcW w:w="10682" w:type="dxa"/>
          </w:tcPr>
          <w:p w14:paraId="6039F152" w14:textId="77777777" w:rsidR="006F1AC4" w:rsidRPr="00E51BF5" w:rsidRDefault="00850029" w:rsidP="003B784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519085E9" w14:textId="77777777" w:rsidR="00D00FBE" w:rsidRPr="00E51BF5" w:rsidRDefault="00D00FBE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306E1975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0AD360DE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6A37E370" w14:textId="77777777" w:rsidR="00FE1011" w:rsidRDefault="00E51BF5" w:rsidP="008D0853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7D1D21C4" w14:textId="77777777" w:rsidR="00E51BF5" w:rsidRPr="00FE1011" w:rsidRDefault="00E51BF5" w:rsidP="008D0853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61A5537D" w14:textId="77777777" w:rsidR="00E51BF5" w:rsidRPr="00E51BF5" w:rsidRDefault="00E51BF5" w:rsidP="00E51BF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1E80C2D8" w14:textId="77777777" w:rsidR="001C6FB6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4CBFA98A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5BBB7816" w14:textId="77777777" w:rsidTr="009B3CFF">
        <w:tc>
          <w:tcPr>
            <w:tcW w:w="2335" w:type="dxa"/>
            <w:gridSpan w:val="2"/>
          </w:tcPr>
          <w:p w14:paraId="6FD80180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CBE7AB1" w14:textId="77777777" w:rsidR="008027E9" w:rsidRPr="00E51BF5" w:rsidRDefault="008027E9" w:rsidP="003B784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4275C76B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3B703C06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3AF4BC85" w14:textId="77777777" w:rsidTr="009B3CFF">
        <w:trPr>
          <w:trHeight w:val="135"/>
        </w:trPr>
        <w:tc>
          <w:tcPr>
            <w:tcW w:w="2335" w:type="dxa"/>
            <w:gridSpan w:val="2"/>
          </w:tcPr>
          <w:p w14:paraId="41FACFE4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4E0626E2" w14:textId="77777777" w:rsidR="00850029" w:rsidRPr="00E51BF5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5D0E89C3" w14:textId="77777777" w:rsidR="00850029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11C7D9A1" w14:textId="77777777" w:rsidR="00850029" w:rsidRPr="00E51BF5" w:rsidRDefault="00F860AD" w:rsidP="00F860A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90</w:t>
            </w:r>
            <w:r w:rsidR="000268B9" w:rsidRPr="00E51BF5">
              <w:rPr>
                <w:szCs w:val="24"/>
                <w:lang w:val="ro-RO"/>
              </w:rPr>
              <w:t>%</w:t>
            </w:r>
          </w:p>
        </w:tc>
      </w:tr>
      <w:tr w:rsidR="009B3CFF" w:rsidRPr="00E51BF5" w14:paraId="41A18FBF" w14:textId="77777777" w:rsidTr="009B3CFF">
        <w:trPr>
          <w:trHeight w:val="135"/>
        </w:trPr>
        <w:tc>
          <w:tcPr>
            <w:tcW w:w="717" w:type="dxa"/>
          </w:tcPr>
          <w:p w14:paraId="59F11BA6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11BE8746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55584558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366934A9" w14:textId="77777777" w:rsidR="009B3CFF" w:rsidRPr="009B3CFF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</w:p>
        </w:tc>
        <w:tc>
          <w:tcPr>
            <w:tcW w:w="2694" w:type="dxa"/>
          </w:tcPr>
          <w:p w14:paraId="7D15FC40" w14:textId="77777777" w:rsidR="009B3CFF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</w:p>
        </w:tc>
        <w:tc>
          <w:tcPr>
            <w:tcW w:w="1638" w:type="dxa"/>
          </w:tcPr>
          <w:p w14:paraId="4F7B20AE" w14:textId="77777777" w:rsidR="009B3CFF" w:rsidRPr="00E51BF5" w:rsidRDefault="009B3CFF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9B3CFF" w:rsidRPr="00E51BF5" w14:paraId="4D2CB447" w14:textId="77777777" w:rsidTr="009B3CFF">
        <w:trPr>
          <w:trHeight w:val="245"/>
        </w:trPr>
        <w:tc>
          <w:tcPr>
            <w:tcW w:w="717" w:type="dxa"/>
          </w:tcPr>
          <w:p w14:paraId="6E1478BC" w14:textId="77777777" w:rsidR="009B3CFF" w:rsidRPr="009B3CFF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2268C926" w14:textId="77777777" w:rsidR="009B3CFF" w:rsidRPr="00E51BF5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28F96C3B" w14:textId="77777777" w:rsidR="009B3CFF" w:rsidRPr="005F57EA" w:rsidRDefault="009B3CFF" w:rsidP="00E51BF5">
            <w:pPr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03B9DA78" w14:textId="77777777" w:rsidR="009B3CFF" w:rsidRPr="005F57EA" w:rsidRDefault="009B3CFF" w:rsidP="009B3CFF">
            <w:pPr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0BFEE891" w14:textId="77777777" w:rsidR="009B3CFF" w:rsidRPr="00E51BF5" w:rsidRDefault="009B3CFF" w:rsidP="00E51BF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55A3053A" w14:textId="77777777" w:rsidTr="00E51BF5">
        <w:tc>
          <w:tcPr>
            <w:tcW w:w="10456" w:type="dxa"/>
            <w:gridSpan w:val="5"/>
          </w:tcPr>
          <w:p w14:paraId="470CEB13" w14:textId="77777777" w:rsidR="00E51BF5" w:rsidRPr="00E51BF5" w:rsidRDefault="00E51BF5" w:rsidP="00E51BF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3A6CBE45" w14:textId="77777777" w:rsidTr="00E51BF5">
        <w:tc>
          <w:tcPr>
            <w:tcW w:w="10456" w:type="dxa"/>
            <w:gridSpan w:val="5"/>
          </w:tcPr>
          <w:p w14:paraId="6A0C6D4A" w14:textId="77777777" w:rsidR="00E51BF5" w:rsidRPr="00E51BF5" w:rsidRDefault="00F860AD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 w:rsidRPr="00853AB6">
              <w:rPr>
                <w:color w:val="000000"/>
                <w:szCs w:val="24"/>
                <w:lang w:val="ro-RO"/>
              </w:rPr>
              <w:t>Cunoa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 xml:space="preserve">terea aprofundată a abordărilor teoretice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 xml:space="preserve">i practice legate de </w:t>
            </w:r>
            <w:r>
              <w:rPr>
                <w:color w:val="000000"/>
                <w:szCs w:val="24"/>
                <w:lang w:val="ro-RO"/>
              </w:rPr>
              <w:t>sistemului lingvistic</w:t>
            </w:r>
            <w:r w:rsidRPr="00853AB6">
              <w:rPr>
                <w:color w:val="000000"/>
                <w:szCs w:val="24"/>
                <w:lang w:val="ro-RO"/>
              </w:rPr>
              <w:t xml:space="preserve">, interpretarea fenomenelor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>i a normelor lingvistice, formarea de competen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>e comunica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 xml:space="preserve">ionale </w:t>
            </w:r>
            <w:r>
              <w:rPr>
                <w:color w:val="000000"/>
                <w:szCs w:val="24"/>
                <w:lang w:val="ro-RO"/>
              </w:rPr>
              <w:t>ş</w:t>
            </w:r>
            <w:r w:rsidRPr="00853AB6">
              <w:rPr>
                <w:color w:val="000000"/>
                <w:szCs w:val="24"/>
                <w:lang w:val="ro-RO"/>
              </w:rPr>
              <w:t>i de interac</w:t>
            </w:r>
            <w:r>
              <w:rPr>
                <w:color w:val="000000"/>
                <w:szCs w:val="24"/>
                <w:lang w:val="ro-RO"/>
              </w:rPr>
              <w:t>ţ</w:t>
            </w:r>
            <w:r w:rsidRPr="00853AB6">
              <w:rPr>
                <w:color w:val="000000"/>
                <w:szCs w:val="24"/>
                <w:lang w:val="ro-RO"/>
              </w:rPr>
              <w:t>ionare în grup.</w:t>
            </w:r>
          </w:p>
          <w:p w14:paraId="79C9AD4F" w14:textId="77777777" w:rsidR="00E51BF5" w:rsidRPr="00E51BF5" w:rsidRDefault="00E51BF5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Cunoașterea bună a conceptelor </w:t>
            </w:r>
            <w:r w:rsidR="00F860AD">
              <w:rPr>
                <w:rFonts w:eastAsia="Times New Roman"/>
                <w:lang w:val="ro-RO"/>
              </w:rPr>
              <w:t>lingvistice</w:t>
            </w:r>
            <w:r w:rsidRPr="00E51BF5">
              <w:rPr>
                <w:rFonts w:eastAsia="Times New Roman"/>
                <w:lang w:val="ro-RO"/>
              </w:rPr>
              <w:t xml:space="preserve"> și aplicarea lor adecvată.</w:t>
            </w:r>
          </w:p>
          <w:p w14:paraId="490AB273" w14:textId="77777777" w:rsidR="00E51BF5" w:rsidRPr="00E51BF5" w:rsidRDefault="00E51BF5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43F4B7A8" w14:textId="1C39615F" w:rsidR="00284E8B" w:rsidRDefault="00284E8B" w:rsidP="006D453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8781F" w:rsidRPr="002A4B91" w14:paraId="17D36D1B" w14:textId="77777777" w:rsidTr="000002EB">
        <w:trPr>
          <w:trHeight w:val="952"/>
        </w:trPr>
        <w:tc>
          <w:tcPr>
            <w:tcW w:w="2250" w:type="dxa"/>
          </w:tcPr>
          <w:p w14:paraId="2C18ABC4" w14:textId="77777777" w:rsidR="00B8781F" w:rsidRPr="002A4B91" w:rsidRDefault="00B8781F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498254E5" w14:textId="77777777" w:rsidR="00B8781F" w:rsidRPr="002A4B91" w:rsidRDefault="00B8781F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7FFB51A" w14:textId="77777777" w:rsidR="00B8781F" w:rsidRPr="002A4B91" w:rsidRDefault="00B8781F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B8781F" w:rsidRPr="002A4B91" w14:paraId="11660AD6" w14:textId="77777777" w:rsidTr="000002EB">
        <w:trPr>
          <w:trHeight w:val="952"/>
        </w:trPr>
        <w:tc>
          <w:tcPr>
            <w:tcW w:w="2250" w:type="dxa"/>
          </w:tcPr>
          <w:p w14:paraId="250D634D" w14:textId="77777777" w:rsidR="00B8781F" w:rsidRDefault="00B8781F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DA7472F" w14:textId="77777777" w:rsidR="00B8781F" w:rsidRPr="002A4B91" w:rsidRDefault="00B8781F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562911E" w14:textId="77777777" w:rsidR="00B8781F" w:rsidRDefault="00B8781F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60593F7E" w14:textId="77777777" w:rsidR="00B8781F" w:rsidRPr="006D453F" w:rsidRDefault="00B8781F" w:rsidP="006D453F"/>
    <w:sectPr w:rsidR="00B8781F" w:rsidRPr="006D453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FD8A6" w14:textId="77777777" w:rsidR="00E0702A" w:rsidRDefault="00E0702A" w:rsidP="00666848">
      <w:pPr>
        <w:spacing w:after="0" w:line="240" w:lineRule="auto"/>
      </w:pPr>
      <w:r>
        <w:separator/>
      </w:r>
    </w:p>
  </w:endnote>
  <w:endnote w:type="continuationSeparator" w:id="0">
    <w:p w14:paraId="2B217CC5" w14:textId="77777777" w:rsidR="00E0702A" w:rsidRDefault="00E0702A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88A1D" w14:textId="088A3D38" w:rsidR="00732DEB" w:rsidRDefault="006630A9" w:rsidP="001A1A0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781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A8209" w14:textId="77777777" w:rsidR="00E0702A" w:rsidRDefault="00E0702A" w:rsidP="00666848">
      <w:pPr>
        <w:spacing w:after="0" w:line="240" w:lineRule="auto"/>
      </w:pPr>
      <w:r>
        <w:separator/>
      </w:r>
    </w:p>
  </w:footnote>
  <w:footnote w:type="continuationSeparator" w:id="0">
    <w:p w14:paraId="1E503420" w14:textId="77777777" w:rsidR="00E0702A" w:rsidRDefault="00E0702A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C7789" w14:textId="3B221210" w:rsidR="00732DEB" w:rsidRPr="001A1A09" w:rsidRDefault="001A1A09" w:rsidP="002A3105">
    <w:pPr>
      <w:pStyle w:val="Header"/>
      <w:jc w:val="right"/>
      <w:rPr>
        <w:sz w:val="16"/>
        <w:szCs w:val="16"/>
      </w:rPr>
    </w:pPr>
    <w:r w:rsidRPr="001A1A09">
      <w:rPr>
        <w:sz w:val="16"/>
        <w:szCs w:val="16"/>
      </w:rPr>
      <w:fldChar w:fldCharType="begin"/>
    </w:r>
    <w:r w:rsidRPr="001A1A09">
      <w:rPr>
        <w:sz w:val="16"/>
        <w:szCs w:val="16"/>
      </w:rPr>
      <w:instrText xml:space="preserve"> FILENAME \* MERGEFORMAT </w:instrText>
    </w:r>
    <w:r w:rsidRPr="001A1A09">
      <w:rPr>
        <w:sz w:val="16"/>
        <w:szCs w:val="16"/>
      </w:rPr>
      <w:fldChar w:fldCharType="separate"/>
    </w:r>
    <w:r w:rsidR="00960BB0">
      <w:rPr>
        <w:noProof/>
        <w:sz w:val="16"/>
        <w:szCs w:val="16"/>
      </w:rPr>
      <w:t>3.3.6 FD 1.04 LGM 19-20.1 SR</w:t>
    </w:r>
    <w:r w:rsidRPr="001A1A09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ro-RO"/>
      </w:r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66860"/>
    <w:multiLevelType w:val="hybridMultilevel"/>
    <w:tmpl w:val="FAB825E2"/>
    <w:lvl w:ilvl="0" w:tplc="71485B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27A63"/>
    <w:multiLevelType w:val="hybridMultilevel"/>
    <w:tmpl w:val="5F34E0B2"/>
    <w:lvl w:ilvl="0" w:tplc="8B049D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E7C2315"/>
    <w:multiLevelType w:val="hybridMultilevel"/>
    <w:tmpl w:val="B00ADB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B252F"/>
    <w:multiLevelType w:val="hybridMultilevel"/>
    <w:tmpl w:val="46FA32E4"/>
    <w:lvl w:ilvl="0" w:tplc="6D7CBF74">
      <w:start w:val="2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29" w:hanging="360"/>
      </w:pPr>
    </w:lvl>
    <w:lvl w:ilvl="2" w:tplc="0418001B" w:tentative="1">
      <w:start w:val="1"/>
      <w:numFmt w:val="lowerRoman"/>
      <w:lvlText w:val="%3."/>
      <w:lvlJc w:val="right"/>
      <w:pPr>
        <w:ind w:left="2149" w:hanging="180"/>
      </w:pPr>
    </w:lvl>
    <w:lvl w:ilvl="3" w:tplc="0418000F" w:tentative="1">
      <w:start w:val="1"/>
      <w:numFmt w:val="decimal"/>
      <w:lvlText w:val="%4."/>
      <w:lvlJc w:val="left"/>
      <w:pPr>
        <w:ind w:left="2869" w:hanging="360"/>
      </w:pPr>
    </w:lvl>
    <w:lvl w:ilvl="4" w:tplc="04180019" w:tentative="1">
      <w:start w:val="1"/>
      <w:numFmt w:val="lowerLetter"/>
      <w:lvlText w:val="%5."/>
      <w:lvlJc w:val="left"/>
      <w:pPr>
        <w:ind w:left="3589" w:hanging="360"/>
      </w:pPr>
    </w:lvl>
    <w:lvl w:ilvl="5" w:tplc="0418001B" w:tentative="1">
      <w:start w:val="1"/>
      <w:numFmt w:val="lowerRoman"/>
      <w:lvlText w:val="%6."/>
      <w:lvlJc w:val="right"/>
      <w:pPr>
        <w:ind w:left="4309" w:hanging="180"/>
      </w:pPr>
    </w:lvl>
    <w:lvl w:ilvl="6" w:tplc="0418000F" w:tentative="1">
      <w:start w:val="1"/>
      <w:numFmt w:val="decimal"/>
      <w:lvlText w:val="%7."/>
      <w:lvlJc w:val="left"/>
      <w:pPr>
        <w:ind w:left="5029" w:hanging="360"/>
      </w:pPr>
    </w:lvl>
    <w:lvl w:ilvl="7" w:tplc="04180019" w:tentative="1">
      <w:start w:val="1"/>
      <w:numFmt w:val="lowerLetter"/>
      <w:lvlText w:val="%8."/>
      <w:lvlJc w:val="left"/>
      <w:pPr>
        <w:ind w:left="5749" w:hanging="360"/>
      </w:pPr>
    </w:lvl>
    <w:lvl w:ilvl="8" w:tplc="0418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872C58"/>
    <w:multiLevelType w:val="hybridMultilevel"/>
    <w:tmpl w:val="4B70989A"/>
    <w:lvl w:ilvl="0" w:tplc="CA141F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C60460"/>
    <w:multiLevelType w:val="hybridMultilevel"/>
    <w:tmpl w:val="589E3F9E"/>
    <w:lvl w:ilvl="0" w:tplc="6D7CBF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5234B"/>
    <w:multiLevelType w:val="hybridMultilevel"/>
    <w:tmpl w:val="E66E8AAE"/>
    <w:lvl w:ilvl="0" w:tplc="C0900D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4EA1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AA5A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E2AC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D8B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7AB9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9707B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466E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CCEA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4AFE43F1"/>
    <w:multiLevelType w:val="hybridMultilevel"/>
    <w:tmpl w:val="9006C15A"/>
    <w:lvl w:ilvl="0" w:tplc="BFF6E8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82335"/>
    <w:multiLevelType w:val="hybridMultilevel"/>
    <w:tmpl w:val="F97838A4"/>
    <w:lvl w:ilvl="0" w:tplc="CF18604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C4AEF"/>
    <w:multiLevelType w:val="hybridMultilevel"/>
    <w:tmpl w:val="FBCA324C"/>
    <w:lvl w:ilvl="0" w:tplc="6D7CBF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50AB9"/>
    <w:multiLevelType w:val="hybridMultilevel"/>
    <w:tmpl w:val="3568295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F3F4001"/>
    <w:multiLevelType w:val="hybridMultilevel"/>
    <w:tmpl w:val="2C22A1E4"/>
    <w:lvl w:ilvl="0" w:tplc="51A233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9C372D"/>
    <w:multiLevelType w:val="hybridMultilevel"/>
    <w:tmpl w:val="09C66CAA"/>
    <w:lvl w:ilvl="0" w:tplc="A75A92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72948"/>
    <w:multiLevelType w:val="hybridMultilevel"/>
    <w:tmpl w:val="BDF846B6"/>
    <w:lvl w:ilvl="0" w:tplc="7AFA4A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7"/>
  </w:num>
  <w:num w:numId="4">
    <w:abstractNumId w:val="37"/>
  </w:num>
  <w:num w:numId="5">
    <w:abstractNumId w:val="25"/>
  </w:num>
  <w:num w:numId="6">
    <w:abstractNumId w:val="2"/>
  </w:num>
  <w:num w:numId="7">
    <w:abstractNumId w:val="5"/>
  </w:num>
  <w:num w:numId="8">
    <w:abstractNumId w:val="20"/>
  </w:num>
  <w:num w:numId="9">
    <w:abstractNumId w:val="10"/>
  </w:num>
  <w:num w:numId="10">
    <w:abstractNumId w:val="35"/>
  </w:num>
  <w:num w:numId="11">
    <w:abstractNumId w:val="13"/>
  </w:num>
  <w:num w:numId="12">
    <w:abstractNumId w:val="15"/>
  </w:num>
  <w:num w:numId="13">
    <w:abstractNumId w:val="8"/>
  </w:num>
  <w:num w:numId="14">
    <w:abstractNumId w:val="14"/>
  </w:num>
  <w:num w:numId="15">
    <w:abstractNumId w:val="33"/>
  </w:num>
  <w:num w:numId="16">
    <w:abstractNumId w:val="7"/>
  </w:num>
  <w:num w:numId="17">
    <w:abstractNumId w:val="21"/>
  </w:num>
  <w:num w:numId="18">
    <w:abstractNumId w:val="3"/>
  </w:num>
  <w:num w:numId="19">
    <w:abstractNumId w:val="39"/>
  </w:num>
  <w:num w:numId="20">
    <w:abstractNumId w:val="24"/>
  </w:num>
  <w:num w:numId="21">
    <w:abstractNumId w:val="16"/>
  </w:num>
  <w:num w:numId="22">
    <w:abstractNumId w:val="30"/>
  </w:num>
  <w:num w:numId="23">
    <w:abstractNumId w:val="23"/>
  </w:num>
  <w:num w:numId="24">
    <w:abstractNumId w:val="29"/>
  </w:num>
  <w:num w:numId="25">
    <w:abstractNumId w:val="4"/>
  </w:num>
  <w:num w:numId="26">
    <w:abstractNumId w:val="0"/>
  </w:num>
  <w:num w:numId="27">
    <w:abstractNumId w:val="38"/>
  </w:num>
  <w:num w:numId="28">
    <w:abstractNumId w:val="34"/>
  </w:num>
  <w:num w:numId="29">
    <w:abstractNumId w:val="36"/>
  </w:num>
  <w:num w:numId="30">
    <w:abstractNumId w:val="6"/>
  </w:num>
  <w:num w:numId="31">
    <w:abstractNumId w:val="28"/>
  </w:num>
  <w:num w:numId="32">
    <w:abstractNumId w:val="18"/>
  </w:num>
  <w:num w:numId="33">
    <w:abstractNumId w:val="26"/>
  </w:num>
  <w:num w:numId="34">
    <w:abstractNumId w:val="32"/>
  </w:num>
  <w:num w:numId="35">
    <w:abstractNumId w:val="11"/>
  </w:num>
  <w:num w:numId="36">
    <w:abstractNumId w:val="27"/>
  </w:num>
  <w:num w:numId="37">
    <w:abstractNumId w:val="9"/>
  </w:num>
  <w:num w:numId="38">
    <w:abstractNumId w:val="19"/>
  </w:num>
  <w:num w:numId="39">
    <w:abstractNumId w:val="12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8399E"/>
    <w:rsid w:val="000A4AAC"/>
    <w:rsid w:val="000B2581"/>
    <w:rsid w:val="000C58EB"/>
    <w:rsid w:val="000F0BAC"/>
    <w:rsid w:val="001138E1"/>
    <w:rsid w:val="00130AD9"/>
    <w:rsid w:val="00161981"/>
    <w:rsid w:val="001627E0"/>
    <w:rsid w:val="001A1A09"/>
    <w:rsid w:val="001B2BA8"/>
    <w:rsid w:val="001B395E"/>
    <w:rsid w:val="001C6FB6"/>
    <w:rsid w:val="001D0B30"/>
    <w:rsid w:val="001D53C0"/>
    <w:rsid w:val="001E4C42"/>
    <w:rsid w:val="002001FD"/>
    <w:rsid w:val="0020056E"/>
    <w:rsid w:val="002047E0"/>
    <w:rsid w:val="00237610"/>
    <w:rsid w:val="00237E01"/>
    <w:rsid w:val="002505AD"/>
    <w:rsid w:val="002646AF"/>
    <w:rsid w:val="0027455B"/>
    <w:rsid w:val="002812A5"/>
    <w:rsid w:val="00284E8B"/>
    <w:rsid w:val="00291777"/>
    <w:rsid w:val="002A3105"/>
    <w:rsid w:val="002C1636"/>
    <w:rsid w:val="002C7466"/>
    <w:rsid w:val="002D62FB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16322"/>
    <w:rsid w:val="0043104B"/>
    <w:rsid w:val="00435E7A"/>
    <w:rsid w:val="004416C7"/>
    <w:rsid w:val="00441D97"/>
    <w:rsid w:val="00450A21"/>
    <w:rsid w:val="00452DCF"/>
    <w:rsid w:val="00457FAE"/>
    <w:rsid w:val="00470F45"/>
    <w:rsid w:val="004966FF"/>
    <w:rsid w:val="004973BE"/>
    <w:rsid w:val="004F0D5B"/>
    <w:rsid w:val="005078CB"/>
    <w:rsid w:val="005306C0"/>
    <w:rsid w:val="0055535D"/>
    <w:rsid w:val="00556C56"/>
    <w:rsid w:val="005A12E1"/>
    <w:rsid w:val="00602EBC"/>
    <w:rsid w:val="00614BDA"/>
    <w:rsid w:val="0062313E"/>
    <w:rsid w:val="006315C7"/>
    <w:rsid w:val="00656C86"/>
    <w:rsid w:val="006630A9"/>
    <w:rsid w:val="00666848"/>
    <w:rsid w:val="00691058"/>
    <w:rsid w:val="00696A5C"/>
    <w:rsid w:val="006D0145"/>
    <w:rsid w:val="006D061F"/>
    <w:rsid w:val="006D453F"/>
    <w:rsid w:val="006D7986"/>
    <w:rsid w:val="006F1AC4"/>
    <w:rsid w:val="006F67F0"/>
    <w:rsid w:val="0070094C"/>
    <w:rsid w:val="00725B23"/>
    <w:rsid w:val="00726B6A"/>
    <w:rsid w:val="00732DEB"/>
    <w:rsid w:val="007449F1"/>
    <w:rsid w:val="00744DDD"/>
    <w:rsid w:val="00757C43"/>
    <w:rsid w:val="00761633"/>
    <w:rsid w:val="00774235"/>
    <w:rsid w:val="007E5DD7"/>
    <w:rsid w:val="00801947"/>
    <w:rsid w:val="008027E9"/>
    <w:rsid w:val="00802D16"/>
    <w:rsid w:val="00804E36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D0853"/>
    <w:rsid w:val="008D1BFE"/>
    <w:rsid w:val="00920547"/>
    <w:rsid w:val="0094691D"/>
    <w:rsid w:val="0094707C"/>
    <w:rsid w:val="009565F8"/>
    <w:rsid w:val="00960BB0"/>
    <w:rsid w:val="00960D41"/>
    <w:rsid w:val="00976771"/>
    <w:rsid w:val="0098490E"/>
    <w:rsid w:val="00987D3A"/>
    <w:rsid w:val="009B3CFF"/>
    <w:rsid w:val="009C7D6C"/>
    <w:rsid w:val="009D4FD8"/>
    <w:rsid w:val="00A26881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AD4AE0"/>
    <w:rsid w:val="00B06E6B"/>
    <w:rsid w:val="00B07561"/>
    <w:rsid w:val="00B11823"/>
    <w:rsid w:val="00B23337"/>
    <w:rsid w:val="00B236DC"/>
    <w:rsid w:val="00B32698"/>
    <w:rsid w:val="00B70E8D"/>
    <w:rsid w:val="00B7109F"/>
    <w:rsid w:val="00B8781F"/>
    <w:rsid w:val="00B96DA8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508F7"/>
    <w:rsid w:val="00C816A2"/>
    <w:rsid w:val="00C92687"/>
    <w:rsid w:val="00CE71E1"/>
    <w:rsid w:val="00D00FBE"/>
    <w:rsid w:val="00D10276"/>
    <w:rsid w:val="00D12F88"/>
    <w:rsid w:val="00D22AFB"/>
    <w:rsid w:val="00D24033"/>
    <w:rsid w:val="00D7002C"/>
    <w:rsid w:val="00D74F11"/>
    <w:rsid w:val="00DA2172"/>
    <w:rsid w:val="00DD0DDC"/>
    <w:rsid w:val="00DD2B25"/>
    <w:rsid w:val="00E037F6"/>
    <w:rsid w:val="00E0702A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2005"/>
    <w:rsid w:val="00EF5AEB"/>
    <w:rsid w:val="00F15C49"/>
    <w:rsid w:val="00F272CA"/>
    <w:rsid w:val="00F42AA9"/>
    <w:rsid w:val="00F46278"/>
    <w:rsid w:val="00F72804"/>
    <w:rsid w:val="00F85673"/>
    <w:rsid w:val="00F860AD"/>
    <w:rsid w:val="00FA037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EAE71B"/>
  <w15:docId w15:val="{BF47F744-3505-4E95-879B-DAA52789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1016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24</cp:revision>
  <cp:lastPrinted>2019-11-18T19:21:00Z</cp:lastPrinted>
  <dcterms:created xsi:type="dcterms:W3CDTF">2017-09-26T14:33:00Z</dcterms:created>
  <dcterms:modified xsi:type="dcterms:W3CDTF">2019-11-18T19:21:00Z</dcterms:modified>
</cp:coreProperties>
</file>